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032695" w:rsidP="00032695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311EDE1A" wp14:editId="083B5601">
            <wp:extent cx="2162175" cy="1847850"/>
            <wp:effectExtent l="0" t="0" r="0" b="0"/>
            <wp:docPr id="3" name="صورة 3" descr="C:\Users\user\Desktop\20220606_2303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C:\Users\user\Desktop\20220606_2303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ED" w:rsidRPr="000F48ED" w:rsidRDefault="000F48ED" w:rsidP="000F48ED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0F48ED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850DAB" w:rsidRPr="000F48ED" w:rsidRDefault="000F48ED" w:rsidP="000F48ED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0F48ED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42"/>
        <w:gridCol w:w="4536"/>
      </w:tblGrid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اسم المقرر </w:t>
            </w:r>
            <w:proofErr w:type="gramStart"/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 رمزه</w:t>
            </w:r>
            <w:proofErr w:type="gramEnd"/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فيزياء الموجات الفوق صوتية</w:t>
            </w: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( </w:t>
            </w: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RT</w:t>
            </w:r>
            <w:proofErr w:type="gramEnd"/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506</w:t>
            </w: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val="en-GB"/>
              </w:rPr>
              <w:t xml:space="preserve">أ. </w:t>
            </w: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ايهاب </w:t>
            </w:r>
            <w:proofErr w:type="spellStart"/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ابوالقاسم</w:t>
            </w:r>
            <w:proofErr w:type="spellEnd"/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ابوبكر</w:t>
            </w:r>
            <w:proofErr w:type="spellEnd"/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قسم الأشعة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jc w:val="both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تقنية الاسنان / العلاج الطبيعي 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52 ساعة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jc w:val="both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اللغة الإنجليزية / العربية</w:t>
            </w:r>
          </w:p>
        </w:tc>
      </w:tr>
      <w:tr w:rsidR="008F25F2" w:rsidRPr="008F25F2" w:rsidTr="00032695">
        <w:trPr>
          <w:trHeight w:val="54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الفصل الخامس</w:t>
            </w:r>
          </w:p>
        </w:tc>
      </w:tr>
      <w:tr w:rsidR="008F25F2" w:rsidRPr="008F25F2" w:rsidTr="00032695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F2" w:rsidRPr="008F25F2" w:rsidRDefault="008F25F2" w:rsidP="008F25F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F25F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8F25F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8F25F2">
              <w:rPr>
                <w:rFonts w:ascii="Calibri" w:eastAsia="Times New Roman" w:hAnsi="Calibri" w:cs="Calibri"/>
                <w:sz w:val="28"/>
                <w:szCs w:val="28"/>
                <w:rtl/>
              </w:rPr>
              <w:t>جامعة سبها</w:t>
            </w:r>
          </w:p>
        </w:tc>
      </w:tr>
    </w:tbl>
    <w:p w:rsidR="00850DAB" w:rsidRPr="008F25F2" w:rsidRDefault="00850DAB">
      <w:pPr>
        <w:rPr>
          <w:rFonts w:ascii="Calibri" w:hAnsi="Calibri" w:cs="Calibri"/>
          <w:sz w:val="28"/>
          <w:szCs w:val="28"/>
          <w:rtl/>
        </w:rPr>
      </w:pPr>
    </w:p>
    <w:p w:rsidR="008F25F2" w:rsidRPr="008F25F2" w:rsidRDefault="008F25F2" w:rsidP="008F25F2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8F25F2">
        <w:rPr>
          <w:rFonts w:ascii="Calibri" w:eastAsia="Times New Roman" w:hAnsi="Calibri" w:cs="Calibri"/>
          <w:b/>
          <w:bCs/>
          <w:sz w:val="28"/>
          <w:szCs w:val="28"/>
          <w:rtl/>
        </w:rPr>
        <w:t>أهداف المقرر</w:t>
      </w:r>
    </w:p>
    <w:p w:rsidR="008F25F2" w:rsidRPr="008F25F2" w:rsidRDefault="008F25F2" w:rsidP="008F25F2">
      <w:pPr>
        <w:spacing w:line="240" w:lineRule="auto"/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</w:pPr>
      <w:r w:rsidRPr="008F25F2">
        <w:rPr>
          <w:rFonts w:ascii="Calibri" w:eastAsia="Times New Roman" w:hAnsi="Calibri" w:cs="Calibri"/>
          <w:sz w:val="28"/>
          <w:szCs w:val="28"/>
          <w:rtl/>
        </w:rPr>
        <w:t>1</w:t>
      </w: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. التعرف على فيزياء وخصائص الصوت.</w:t>
      </w:r>
    </w:p>
    <w:p w:rsidR="008F25F2" w:rsidRPr="008F25F2" w:rsidRDefault="008F25F2" w:rsidP="00032695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</w:pP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2. معرفة تصنيفات </w:t>
      </w:r>
      <w:proofErr w:type="gramStart"/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الصوت .</w:t>
      </w:r>
      <w:proofErr w:type="gramEnd"/>
    </w:p>
    <w:p w:rsidR="008F25F2" w:rsidRPr="008F25F2" w:rsidRDefault="008F25F2" w:rsidP="00032695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3. التعرف على كيفية توليد الموجات الفوق صوتية.</w:t>
      </w:r>
    </w:p>
    <w:p w:rsidR="008F25F2" w:rsidRPr="008F25F2" w:rsidRDefault="008F25F2" w:rsidP="00032695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4. معرفة جهاز التصوير بالموجات الفوق صوتية والية عمله.</w:t>
      </w:r>
    </w:p>
    <w:p w:rsidR="008F25F2" w:rsidRPr="008F25F2" w:rsidRDefault="008F25F2" w:rsidP="00032695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</w:pP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5. معرفة كيفية تجهيز المريض للتصوير. </w:t>
      </w:r>
    </w:p>
    <w:p w:rsidR="008F25F2" w:rsidRPr="008F25F2" w:rsidRDefault="008F25F2" w:rsidP="00032695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  <w:lang w:bidi="ar-LY"/>
        </w:rPr>
      </w:pPr>
      <w:r w:rsidRPr="008F25F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6. معرفة أساسيات التصوير بالموجات الفوق صوتية</w:t>
      </w:r>
      <w:r w:rsidRPr="008F25F2">
        <w:rPr>
          <w:rFonts w:ascii="Calibri" w:eastAsia="Times New Roman" w:hAnsi="Calibri" w:cs="Calibri"/>
          <w:sz w:val="28"/>
          <w:szCs w:val="28"/>
          <w:rtl/>
          <w:lang w:bidi="ar-LY"/>
        </w:rPr>
        <w:t>.</w:t>
      </w:r>
    </w:p>
    <w:p w:rsidR="00032695" w:rsidRDefault="00032695" w:rsidP="00032695">
      <w:pPr>
        <w:spacing w:before="240" w:after="24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8F25F2" w:rsidRPr="008F25F2" w:rsidRDefault="008F25F2" w:rsidP="008F25F2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8F25F2">
        <w:rPr>
          <w:rFonts w:ascii="Calibri" w:eastAsia="Times New Roman" w:hAnsi="Calibri" w:cs="Calibri"/>
          <w:b/>
          <w:bCs/>
          <w:sz w:val="28"/>
          <w:szCs w:val="28"/>
          <w:rtl/>
        </w:rPr>
        <w:lastRenderedPageBreak/>
        <w:t>محتوى المقرر</w:t>
      </w:r>
    </w:p>
    <w:tbl>
      <w:tblPr>
        <w:bidiVisual/>
        <w:tblW w:w="91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1175"/>
        <w:gridCol w:w="1197"/>
        <w:gridCol w:w="912"/>
        <w:gridCol w:w="969"/>
      </w:tblGrid>
      <w:tr w:rsidR="008F25F2" w:rsidRPr="00032695" w:rsidTr="00032695">
        <w:trPr>
          <w:trHeight w:hRule="exact" w:val="822"/>
        </w:trPr>
        <w:tc>
          <w:tcPr>
            <w:tcW w:w="4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</w:pPr>
          </w:p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الموضوع العلمي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8F25F2" w:rsidRPr="00032695" w:rsidRDefault="008F25F2" w:rsidP="00032695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8F25F2" w:rsidRPr="00032695" w:rsidTr="00032695">
        <w:trPr>
          <w:trHeight w:hRule="exact" w:val="461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الموجات الصوتية أنواعها وتصنيفاتها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05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فيزياء الموجات الصوتية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25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خصائص ومميزات الموجات الفوق صوتية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31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جهاز التصوير بالموجات الفوق صوتية 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22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مجس جهاز الموجات الفوق صوتية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570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آلية توليد وإرسال الموجات الفوق صوتية 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564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استقبال الموجات الفوق صوتية الصدى بواسطة المجس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30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أنواع المجسمات المستخدمة في التصوير 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423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جودة الصور الناتجة من التصوير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712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أخطاء الصور الناتجة من التصوير بالموجات الفوق صوتية وتحديات ومخاطر التصوير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553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أنواع وأنماط التصوير بالموجات الفوق صوتية 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575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تحضير المريض لتصوير بالموجات الفوق صوتية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8F25F2" w:rsidRPr="00032695" w:rsidTr="00032695">
        <w:trPr>
          <w:trHeight w:hRule="exact" w:val="708"/>
        </w:trPr>
        <w:tc>
          <w:tcPr>
            <w:tcW w:w="4945" w:type="dxa"/>
            <w:vAlign w:val="center"/>
          </w:tcPr>
          <w:p w:rsidR="008F25F2" w:rsidRPr="00032695" w:rsidRDefault="008F25F2" w:rsidP="00032695">
            <w:pPr>
              <w:tabs>
                <w:tab w:val="right" w:pos="391"/>
              </w:tabs>
              <w:spacing w:after="200" w:line="240" w:lineRule="auto"/>
              <w:ind w:left="31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أساسيات التصوير بالموجات الفوق صوتية</w:t>
            </w:r>
          </w:p>
        </w:tc>
        <w:tc>
          <w:tcPr>
            <w:tcW w:w="1175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8F25F2" w:rsidRPr="00032695" w:rsidRDefault="008F25F2" w:rsidP="00032695">
            <w:pPr>
              <w:spacing w:after="20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</w:tbl>
    <w:p w:rsidR="008F25F2" w:rsidRPr="008F25F2" w:rsidRDefault="008F25F2" w:rsidP="008F25F2">
      <w:pPr>
        <w:spacing w:after="0" w:line="240" w:lineRule="auto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>
        <w:rPr>
          <w:rFonts w:ascii="Calibri" w:eastAsia="Times New Roman" w:hAnsi="Calibri" w:cs="Calibri" w:hint="cs"/>
          <w:b/>
          <w:bCs/>
          <w:color w:val="0D0D0D"/>
          <w:sz w:val="28"/>
          <w:szCs w:val="28"/>
          <w:rtl/>
          <w:lang w:eastAsia="en-SG"/>
        </w:rPr>
        <w:t>طرق التدريس</w:t>
      </w:r>
    </w:p>
    <w:p w:rsidR="00032695" w:rsidRPr="008F25F2" w:rsidRDefault="008F25F2" w:rsidP="00032695">
      <w:pPr>
        <w:spacing w:before="240" w:after="240" w:line="240" w:lineRule="auto"/>
        <w:ind w:left="84"/>
        <w:contextualSpacing/>
        <w:rPr>
          <w:rFonts w:ascii="Calibri" w:eastAsia="Times New Roman" w:hAnsi="Calibri" w:cs="Calibri"/>
          <w:b/>
          <w:bCs/>
          <w:sz w:val="28"/>
          <w:szCs w:val="28"/>
        </w:rPr>
      </w:pPr>
      <w:r w:rsidRPr="008F25F2">
        <w:rPr>
          <w:rFonts w:ascii="Calibri" w:eastAsia="Calibri" w:hAnsi="Calibri" w:cs="Calibri"/>
          <w:color w:val="0D0D0D"/>
          <w:sz w:val="28"/>
          <w:szCs w:val="28"/>
          <w:rtl/>
        </w:rPr>
        <w:t>محاضرات</w:t>
      </w:r>
      <w:r w:rsidR="00032695" w:rsidRPr="0003269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032695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     </w:t>
      </w:r>
      <w:r w:rsidR="00032695" w:rsidRPr="008F25F2">
        <w:rPr>
          <w:rFonts w:ascii="Calibri" w:eastAsia="Calibri" w:hAnsi="Calibri" w:cs="Calibri"/>
          <w:color w:val="0D0D0D"/>
          <w:sz w:val="28"/>
          <w:szCs w:val="28"/>
          <w:rtl/>
        </w:rPr>
        <w:t>حلقات النقاش</w:t>
      </w:r>
      <w:r w:rsidR="00032695" w:rsidRPr="0003269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032695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    </w:t>
      </w:r>
      <w:r w:rsidR="00032695" w:rsidRPr="008F25F2">
        <w:rPr>
          <w:rFonts w:ascii="Calibri" w:eastAsia="Calibri" w:hAnsi="Calibri" w:cs="Calibri"/>
          <w:color w:val="0D0D0D"/>
          <w:sz w:val="28"/>
          <w:szCs w:val="28"/>
          <w:rtl/>
        </w:rPr>
        <w:t>تقاريــــر</w:t>
      </w:r>
      <w:r w:rsidR="00032695" w:rsidRPr="0003269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032695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     </w:t>
      </w:r>
      <w:r w:rsidR="00032695" w:rsidRPr="008F25F2">
        <w:rPr>
          <w:rFonts w:ascii="Calibri" w:eastAsia="Calibri" w:hAnsi="Calibri" w:cs="Calibri"/>
          <w:color w:val="0D0D0D"/>
          <w:sz w:val="28"/>
          <w:szCs w:val="28"/>
          <w:rtl/>
        </w:rPr>
        <w:t>زيارات ميدانية</w:t>
      </w:r>
    </w:p>
    <w:p w:rsidR="008F25F2" w:rsidRPr="008F25F2" w:rsidRDefault="008F25F2" w:rsidP="008F25F2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8F25F2">
        <w:rPr>
          <w:rFonts w:ascii="Calibri" w:eastAsia="Times New Roman" w:hAnsi="Calibri" w:cs="Calibri"/>
          <w:b/>
          <w:bCs/>
          <w:sz w:val="28"/>
          <w:szCs w:val="28"/>
          <w:rtl/>
        </w:rPr>
        <w:t>طرق التقييم</w:t>
      </w:r>
    </w:p>
    <w:tbl>
      <w:tblPr>
        <w:bidiVisual/>
        <w:tblW w:w="89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714"/>
        <w:gridCol w:w="3054"/>
        <w:gridCol w:w="1596"/>
      </w:tblGrid>
      <w:tr w:rsidR="008F25F2" w:rsidRPr="00032695" w:rsidTr="008F25F2">
        <w:trPr>
          <w:trHeight w:val="467"/>
          <w:jc w:val="center"/>
        </w:trPr>
        <w:tc>
          <w:tcPr>
            <w:tcW w:w="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30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8F25F2" w:rsidRPr="00032695" w:rsidTr="008F25F2">
        <w:trPr>
          <w:trHeight w:val="594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الامتحان نصفي</w:t>
            </w:r>
          </w:p>
        </w:tc>
        <w:tc>
          <w:tcPr>
            <w:tcW w:w="305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الاسبوع السادس والحادي عشر</w:t>
            </w:r>
          </w:p>
        </w:tc>
        <w:tc>
          <w:tcPr>
            <w:tcW w:w="1596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20</w:t>
            </w:r>
          </w:p>
        </w:tc>
      </w:tr>
      <w:tr w:rsidR="008F25F2" w:rsidRPr="00032695" w:rsidTr="008F25F2">
        <w:trPr>
          <w:trHeight w:val="60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الامتحان شفهي</w:t>
            </w:r>
          </w:p>
        </w:tc>
        <w:tc>
          <w:tcPr>
            <w:tcW w:w="305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الاسبوع السادس عشر</w:t>
            </w:r>
          </w:p>
        </w:tc>
        <w:tc>
          <w:tcPr>
            <w:tcW w:w="1596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</w:tr>
      <w:tr w:rsidR="008F25F2" w:rsidRPr="00032695" w:rsidTr="008F25F2">
        <w:trPr>
          <w:trHeight w:val="77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الامتحان عملي</w:t>
            </w:r>
          </w:p>
        </w:tc>
        <w:tc>
          <w:tcPr>
            <w:tcW w:w="305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الاسبوع السادس عشر</w:t>
            </w:r>
          </w:p>
        </w:tc>
        <w:tc>
          <w:tcPr>
            <w:tcW w:w="1596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15</w:t>
            </w:r>
          </w:p>
        </w:tc>
      </w:tr>
      <w:tr w:rsidR="008F25F2" w:rsidRPr="00032695" w:rsidTr="008F25F2">
        <w:trPr>
          <w:trHeight w:val="353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الامتحان نهائي</w:t>
            </w:r>
          </w:p>
        </w:tc>
        <w:tc>
          <w:tcPr>
            <w:tcW w:w="305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الاسبوع السابع عشر</w:t>
            </w:r>
          </w:p>
        </w:tc>
        <w:tc>
          <w:tcPr>
            <w:tcW w:w="1596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50</w:t>
            </w:r>
          </w:p>
        </w:tc>
      </w:tr>
      <w:tr w:rsidR="008F25F2" w:rsidRPr="00032695" w:rsidTr="008F25F2">
        <w:trPr>
          <w:trHeight w:val="530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النشـــــــــــاط</w:t>
            </w:r>
          </w:p>
        </w:tc>
        <w:tc>
          <w:tcPr>
            <w:tcW w:w="3054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أسبوعيا</w:t>
            </w:r>
          </w:p>
        </w:tc>
        <w:tc>
          <w:tcPr>
            <w:tcW w:w="1596" w:type="dxa"/>
            <w:vAlign w:val="center"/>
          </w:tcPr>
          <w:p w:rsidR="008F25F2" w:rsidRPr="00032695" w:rsidRDefault="008F25F2" w:rsidP="008F25F2">
            <w:pPr>
              <w:tabs>
                <w:tab w:val="left" w:pos="-5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10</w:t>
            </w:r>
          </w:p>
        </w:tc>
      </w:tr>
      <w:tr w:rsidR="008F25F2" w:rsidRPr="00032695" w:rsidTr="008F25F2">
        <w:trPr>
          <w:trHeight w:val="35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</w:pPr>
            <w:r w:rsidRPr="00032695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fr-FR"/>
              </w:rPr>
              <w:t>%</w:t>
            </w:r>
          </w:p>
        </w:tc>
      </w:tr>
    </w:tbl>
    <w:p w:rsidR="008F25F2" w:rsidRPr="008F25F2" w:rsidRDefault="008F25F2" w:rsidP="008F25F2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8F25F2">
        <w:rPr>
          <w:rFonts w:ascii="Calibri" w:eastAsia="Times New Roman" w:hAnsi="Calibri" w:cs="Calibri"/>
          <w:b/>
          <w:bCs/>
          <w:sz w:val="28"/>
          <w:szCs w:val="28"/>
          <w:rtl/>
        </w:rPr>
        <w:lastRenderedPageBreak/>
        <w:t xml:space="preserve"> المراجع والدوريات</w:t>
      </w:r>
    </w:p>
    <w:tbl>
      <w:tblPr>
        <w:bidiVisual/>
        <w:tblW w:w="8931" w:type="dxa"/>
        <w:tblInd w:w="2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559"/>
        <w:gridCol w:w="1559"/>
        <w:gridCol w:w="2127"/>
      </w:tblGrid>
      <w:tr w:rsidR="008F25F2" w:rsidRPr="00032695" w:rsidTr="008E3CBB">
        <w:trPr>
          <w:cantSplit/>
          <w:trHeight w:hRule="exact" w:val="745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8F25F2" w:rsidRPr="00032695" w:rsidTr="00032695">
        <w:trPr>
          <w:cantSplit/>
          <w:trHeight w:hRule="exact" w:val="1688"/>
        </w:trPr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الكتب الدراسية المقررة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F25F2" w:rsidRPr="00032695" w:rsidRDefault="008F25F2" w:rsidP="008F25F2">
            <w:pPr>
              <w:bidi w:val="0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Pete H, Kevin M and </w:t>
            </w:r>
            <w:proofErr w:type="gram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Abigail(</w:t>
            </w:r>
            <w:proofErr w:type="gram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2006) : Diagnostic ultrasound physics and equipment, second edition, </w:t>
            </w: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Cambidge</w:t>
            </w:r>
            <w:proofErr w:type="spell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.</w:t>
            </w:r>
          </w:p>
          <w:p w:rsidR="008F25F2" w:rsidRPr="00032695" w:rsidRDefault="008F25F2" w:rsidP="008F25F2">
            <w:pPr>
              <w:bidi w:val="0"/>
              <w:spacing w:after="0" w:line="240" w:lineRule="auto"/>
              <w:ind w:left="709" w:hanging="709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Elisabetta</w:t>
            </w:r>
            <w:proofErr w:type="spell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B.</w:t>
            </w:r>
            <w:proofErr w:type="gram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,</w:t>
            </w: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Harald</w:t>
            </w:r>
            <w:proofErr w:type="spellEnd"/>
            <w:proofErr w:type="gram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L. and </w:t>
            </w: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Paoletta</w:t>
            </w:r>
            <w:proofErr w:type="spell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M. (2013) manual of diagnostic ultrasound. Second edition, WHO.</w:t>
            </w:r>
          </w:p>
          <w:p w:rsidR="008F25F2" w:rsidRPr="00032695" w:rsidRDefault="008F25F2" w:rsidP="008F2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  <w:rtl/>
              </w:rPr>
            </w:pPr>
          </w:p>
        </w:tc>
      </w:tr>
      <w:tr w:rsidR="008F25F2" w:rsidRPr="00032695" w:rsidTr="00032695">
        <w:trPr>
          <w:cantSplit/>
          <w:trHeight w:hRule="exact" w:val="773"/>
        </w:trPr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الكتب المساعدة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F25F2" w:rsidRPr="00032695" w:rsidRDefault="008F25F2" w:rsidP="008F25F2">
            <w:pPr>
              <w:spacing w:after="0" w:line="240" w:lineRule="auto"/>
              <w:jc w:val="right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</w:p>
          <w:p w:rsidR="008F25F2" w:rsidRPr="00032695" w:rsidRDefault="008F25F2" w:rsidP="008F25F2">
            <w:pPr>
              <w:bidi w:val="0"/>
              <w:spacing w:after="200" w:line="276" w:lineRule="auto"/>
              <w:ind w:left="709" w:hanging="709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Sidney K. Edelman (2004): understanding ultrasound physics, third edition. </w:t>
            </w:r>
          </w:p>
          <w:p w:rsidR="008F25F2" w:rsidRPr="00032695" w:rsidRDefault="008F25F2" w:rsidP="008F25F2">
            <w:pPr>
              <w:bidi w:val="0"/>
              <w:spacing w:after="0" w:line="240" w:lineRule="auto"/>
              <w:ind w:left="709" w:hanging="709"/>
              <w:jc w:val="both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Matthias H</w:t>
            </w:r>
            <w:proofErr w:type="gram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.(</w:t>
            </w:r>
            <w:proofErr w:type="gram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2013):</w:t>
            </w: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Ultasound</w:t>
            </w:r>
            <w:proofErr w:type="spell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teaching manual, third </w:t>
            </w:r>
            <w:proofErr w:type="spellStart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edition,Germany</w:t>
            </w:r>
            <w:proofErr w:type="spellEnd"/>
            <w:r w:rsidRPr="00032695"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 xml:space="preserve"> .</w:t>
            </w:r>
          </w:p>
          <w:p w:rsidR="008F25F2" w:rsidRPr="00032695" w:rsidRDefault="008F25F2" w:rsidP="008F25F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  <w:rtl/>
              </w:rPr>
            </w:pPr>
          </w:p>
        </w:tc>
      </w:tr>
      <w:tr w:rsidR="008F25F2" w:rsidRPr="00032695" w:rsidTr="008E3CBB">
        <w:trPr>
          <w:cantSplit/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  <w:rtl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الدوريات العلمية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F25F2" w:rsidRPr="00032695" w:rsidRDefault="008F25F2" w:rsidP="008F25F2">
            <w:pPr>
              <w:numPr>
                <w:ilvl w:val="0"/>
                <w:numId w:val="4"/>
              </w:numPr>
              <w:spacing w:after="0" w:line="240" w:lineRule="auto"/>
              <w:ind w:right="-567"/>
              <w:contextualSpacing/>
              <w:rPr>
                <w:rFonts w:ascii="Simplified Arabic" w:eastAsia="Calibri" w:hAnsi="Simplified Arabic" w:cs="Simplified Arabic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032695">
              <w:rPr>
                <w:rFonts w:ascii="Simplified Arabic" w:eastAsia="Calibri" w:hAnsi="Simplified Arabic" w:cs="Simplified Arabic" w:hint="cs"/>
                <w:b/>
                <w:bCs/>
                <w:color w:val="0D0D0D"/>
                <w:sz w:val="24"/>
                <w:szCs w:val="24"/>
                <w:shd w:val="clear" w:color="auto" w:fill="FFFFFF"/>
                <w:rtl/>
              </w:rPr>
              <w:t>شبكة الفيزياء التعليمية</w:t>
            </w:r>
          </w:p>
          <w:p w:rsidR="008F25F2" w:rsidRPr="00032695" w:rsidRDefault="008F25F2" w:rsidP="008F25F2">
            <w:pPr>
              <w:spacing w:after="0" w:line="240" w:lineRule="auto"/>
              <w:ind w:left="720" w:right="-567"/>
              <w:contextualSpacing/>
              <w:rPr>
                <w:rFonts w:ascii="Simplified Arabic" w:eastAsia="Calibri" w:hAnsi="Simplified Arabic" w:cs="Simplified Arabic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032695">
              <w:rPr>
                <w:rFonts w:ascii="Simplified Arabic" w:eastAsia="Calibri" w:hAnsi="Simplified Arabic" w:cs="Simplified Arabic" w:hint="cs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GB"/>
              </w:rPr>
              <w:t xml:space="preserve">قسم صيانة المعدات الطبية </w:t>
            </w:r>
            <w:r w:rsidRPr="00032695">
              <w:rPr>
                <w:rFonts w:ascii="Simplified Arabic" w:eastAsia="Calibri" w:hAnsi="Simplified Arabic" w:cs="Simplified Arabic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GB"/>
              </w:rPr>
              <w:t>–</w:t>
            </w:r>
            <w:r w:rsidRPr="00032695">
              <w:rPr>
                <w:rFonts w:ascii="Simplified Arabic" w:eastAsia="Calibri" w:hAnsi="Simplified Arabic" w:cs="Simplified Arabic" w:hint="cs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GB"/>
              </w:rPr>
              <w:t xml:space="preserve"> ادارة الخدمات الصحية زليتين</w:t>
            </w:r>
          </w:p>
          <w:p w:rsidR="008F25F2" w:rsidRPr="00032695" w:rsidRDefault="008F25F2" w:rsidP="008F25F2">
            <w:pPr>
              <w:bidi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</w:p>
        </w:tc>
      </w:tr>
      <w:tr w:rsidR="008F25F2" w:rsidRPr="00032695" w:rsidTr="008E3CBB">
        <w:trPr>
          <w:cantSplit/>
          <w:trHeight w:hRule="exact" w:val="3022"/>
        </w:trPr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F2" w:rsidRPr="00032695" w:rsidRDefault="008F25F2" w:rsidP="008F25F2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  <w:r w:rsidRPr="00032695">
              <w:rPr>
                <w:rFonts w:ascii="Times New Roman" w:eastAsia="Times New Roman" w:hAnsi="Times New Roman" w:cs="AL-Mateen" w:hint="cs"/>
                <w:b/>
                <w:bCs/>
                <w:sz w:val="24"/>
                <w:szCs w:val="24"/>
                <w:rtl/>
              </w:rPr>
              <w:t>مواقع انترنت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6" w:history="1">
              <w:r w:rsidR="008F25F2" w:rsidRPr="00032695">
                <w:rPr>
                  <w:rFonts w:ascii="Simplified Arabic" w:eastAsia="Calibri" w:hAnsi="Simplified Arabic" w:cs="Simplified Arabic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www.vetmansoura.com</w:t>
              </w:r>
            </w:hyperlink>
          </w:p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7" w:history="1">
              <w:r w:rsidR="008F25F2" w:rsidRPr="00032695">
                <w:rPr>
                  <w:rFonts w:ascii="Simplified Arabic" w:eastAsia="Calibri" w:hAnsi="Simplified Arabic" w:cs="Simplified Arabic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www.uomustansiriyah.edu.iq</w:t>
              </w:r>
            </w:hyperlink>
          </w:p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8" w:history="1">
              <w:r w:rsidR="008F25F2" w:rsidRPr="00032695">
                <w:rPr>
                  <w:rFonts w:ascii="Simplified Arabic" w:eastAsia="Calibri" w:hAnsi="Simplified Arabic" w:cs="Simplified Arabic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www.wikipedia.org</w:t>
              </w:r>
            </w:hyperlink>
          </w:p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9" w:history="1">
              <w:r w:rsidR="008F25F2" w:rsidRPr="00032695">
                <w:rPr>
                  <w:rFonts w:ascii="Simplified Arabic" w:eastAsia="Calibri" w:hAnsi="Simplified Arabic" w:cs="Simplified Arabic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www.iaea.org</w:t>
              </w:r>
            </w:hyperlink>
          </w:p>
          <w:p w:rsidR="008F25F2" w:rsidRPr="00032695" w:rsidRDefault="008F25F2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32695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www.radclass.net</w:t>
            </w:r>
            <w:hyperlink r:id="rId10" w:history="1"/>
          </w:p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11" w:history="1">
              <w:r w:rsidR="008F25F2" w:rsidRPr="00032695">
                <w:rPr>
                  <w:rFonts w:ascii="Calibri" w:eastAsia="Calibri" w:hAnsi="Calibri" w:cs="Arial"/>
                  <w:b/>
                  <w:bCs/>
                  <w:color w:val="0000FF"/>
                  <w:sz w:val="24"/>
                  <w:szCs w:val="24"/>
                  <w:u w:val="single"/>
                </w:rPr>
                <w:t>www.radiologyinfo.org</w:t>
              </w:r>
            </w:hyperlink>
          </w:p>
          <w:p w:rsidR="008F25F2" w:rsidRPr="00032695" w:rsidRDefault="00032695" w:rsidP="008F25F2">
            <w:pPr>
              <w:numPr>
                <w:ilvl w:val="0"/>
                <w:numId w:val="5"/>
              </w:numPr>
              <w:bidi w:val="0"/>
              <w:spacing w:before="240"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hyperlink r:id="rId12" w:history="1">
              <w:r w:rsidR="008F25F2" w:rsidRPr="00032695">
                <w:rPr>
                  <w:rFonts w:ascii="Calibri" w:eastAsia="Calibri" w:hAnsi="Calibri" w:cs="Arial"/>
                  <w:b/>
                  <w:bCs/>
                  <w:color w:val="0000FF"/>
                  <w:sz w:val="24"/>
                  <w:szCs w:val="24"/>
                  <w:u w:val="single"/>
                </w:rPr>
                <w:t>www.medicinenet.com</w:t>
              </w:r>
            </w:hyperlink>
          </w:p>
          <w:p w:rsidR="008F25F2" w:rsidRPr="00032695" w:rsidRDefault="008F25F2" w:rsidP="008F25F2">
            <w:pPr>
              <w:numPr>
                <w:ilvl w:val="0"/>
                <w:numId w:val="5"/>
              </w:numPr>
              <w:bidi w:val="0"/>
              <w:spacing w:before="240"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</w:pPr>
            <w:proofErr w:type="gramStart"/>
            <w:r w:rsidRPr="00032695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www</w:t>
            </w:r>
            <w:proofErr w:type="gramEnd"/>
            <w:r w:rsidRPr="00032695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. Msdmanuals.com</w:t>
            </w:r>
          </w:p>
          <w:p w:rsidR="008F25F2" w:rsidRPr="00032695" w:rsidRDefault="008F25F2" w:rsidP="008F25F2">
            <w:pPr>
              <w:numPr>
                <w:ilvl w:val="0"/>
                <w:numId w:val="5"/>
              </w:numPr>
              <w:bidi w:val="0"/>
              <w:spacing w:before="240"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  <w:rtl/>
              </w:rPr>
            </w:pPr>
            <w:r w:rsidRPr="00032695">
              <w:rPr>
                <w:rFonts w:ascii="Simplified Arabic" w:eastAsia="Calibri" w:hAnsi="Simplified Arabic" w:cs="Simplified Arabic"/>
                <w:b/>
                <w:bCs/>
                <w:i/>
                <w:iCs/>
                <w:color w:val="0D0D0D"/>
                <w:sz w:val="24"/>
                <w:szCs w:val="24"/>
              </w:rPr>
              <w:t>www.radspe.com</w:t>
            </w:r>
          </w:p>
          <w:p w:rsidR="008F25F2" w:rsidRPr="00032695" w:rsidRDefault="008F25F2" w:rsidP="008F25F2">
            <w:pPr>
              <w:bidi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AL-Mateen"/>
                <w:b/>
                <w:bCs/>
                <w:sz w:val="24"/>
                <w:szCs w:val="24"/>
              </w:rPr>
            </w:pPr>
          </w:p>
        </w:tc>
      </w:tr>
    </w:tbl>
    <w:p w:rsidR="00032695" w:rsidRDefault="00032695" w:rsidP="008E3CBB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032695" w:rsidRDefault="00032695" w:rsidP="008E3CBB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032695" w:rsidRDefault="00032695" w:rsidP="008E3CBB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032695" w:rsidRDefault="00032695" w:rsidP="008E3CBB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8E3CBB" w:rsidRPr="008E3CBB" w:rsidRDefault="008E3CBB" w:rsidP="008E3CBB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bookmarkStart w:id="0" w:name="_GoBack"/>
      <w:bookmarkEnd w:id="0"/>
      <w:r w:rsidRPr="008E3CB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رئيس القسم:</w:t>
      </w:r>
      <w:r w:rsidRPr="008E3CBB">
        <w:rPr>
          <w:rFonts w:ascii="Calibri" w:eastAsia="Times New Roman" w:hAnsi="Calibri" w:cs="Calibri" w:hint="cs"/>
          <w:sz w:val="28"/>
          <w:szCs w:val="28"/>
          <w:rtl/>
        </w:rPr>
        <w:t xml:space="preserve"> د. مؤمن عابدو الخير                                   </w:t>
      </w:r>
      <w:r w:rsidRPr="008E3CB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منسق الجودة </w:t>
      </w:r>
      <w:proofErr w:type="gramStart"/>
      <w:r w:rsidRPr="008E3CB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بالقسم :</w:t>
      </w:r>
      <w:proofErr w:type="gramEnd"/>
      <w:r w:rsidRPr="008E3CBB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8E3CBB">
        <w:rPr>
          <w:rFonts w:ascii="Calibri" w:eastAsia="Calibri" w:hAnsi="Calibri" w:cs="Calibri" w:hint="cs"/>
          <w:b/>
          <w:bCs/>
          <w:color w:val="0D0D0D"/>
          <w:rtl/>
        </w:rPr>
        <w:t>أ. زينب علي يوسف</w:t>
      </w:r>
    </w:p>
    <w:p w:rsidR="008E3CBB" w:rsidRPr="008E3CBB" w:rsidRDefault="008E3CBB" w:rsidP="008E3CBB">
      <w:pPr>
        <w:spacing w:after="200" w:line="360" w:lineRule="auto"/>
        <w:jc w:val="center"/>
        <w:rPr>
          <w:rFonts w:ascii="Calibri" w:eastAsia="Calibri" w:hAnsi="Calibri" w:cs="Calibri" w:hint="cs"/>
          <w:rtl/>
        </w:rPr>
      </w:pPr>
      <w:r w:rsidRPr="008E3CBB">
        <w:rPr>
          <w:rFonts w:ascii="Calibri" w:eastAsia="Times New Roman" w:hAnsi="Calibri" w:cs="Calibri" w:hint="cs"/>
          <w:sz w:val="28"/>
          <w:szCs w:val="28"/>
          <w:rtl/>
        </w:rPr>
        <w:t xml:space="preserve">مراجعة رئيس قسم </w:t>
      </w:r>
      <w:proofErr w:type="gramStart"/>
      <w:r w:rsidRPr="008E3CBB">
        <w:rPr>
          <w:rFonts w:ascii="Calibri" w:eastAsia="Times New Roman" w:hAnsi="Calibri" w:cs="Calibri" w:hint="cs"/>
          <w:sz w:val="28"/>
          <w:szCs w:val="28"/>
          <w:rtl/>
        </w:rPr>
        <w:t>الجودة :</w:t>
      </w:r>
      <w:proofErr w:type="gramEnd"/>
      <w:r w:rsidRPr="008E3CBB">
        <w:rPr>
          <w:rFonts w:ascii="Calibri" w:eastAsia="Times New Roman" w:hAnsi="Calibri" w:cs="Calibri" w:hint="cs"/>
          <w:sz w:val="28"/>
          <w:szCs w:val="28"/>
          <w:rtl/>
        </w:rPr>
        <w:t xml:space="preserve"> أ . خديجة </w:t>
      </w:r>
      <w:proofErr w:type="gramStart"/>
      <w:r w:rsidRPr="008E3CBB">
        <w:rPr>
          <w:rFonts w:ascii="Calibri" w:eastAsia="Times New Roman" w:hAnsi="Calibri" w:cs="Calibri" w:hint="cs"/>
          <w:sz w:val="28"/>
          <w:szCs w:val="28"/>
          <w:rtl/>
        </w:rPr>
        <w:t>عبدالسلام</w:t>
      </w:r>
      <w:proofErr w:type="gramEnd"/>
      <w:r w:rsidRPr="008E3CBB">
        <w:rPr>
          <w:rFonts w:ascii="Calibri" w:eastAsia="Times New Roman" w:hAnsi="Calibri" w:cs="Calibri" w:hint="cs"/>
          <w:sz w:val="28"/>
          <w:szCs w:val="28"/>
          <w:rtl/>
        </w:rPr>
        <w:t xml:space="preserve"> سعد</w:t>
      </w:r>
    </w:p>
    <w:sectPr w:rsidR="008E3CBB" w:rsidRPr="008E3CB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9E8"/>
    <w:multiLevelType w:val="hybridMultilevel"/>
    <w:tmpl w:val="1EF4C416"/>
    <w:lvl w:ilvl="0" w:tplc="18B65330">
      <w:start w:val="1"/>
      <w:numFmt w:val="bullet"/>
      <w:lvlText w:val="‒"/>
      <w:lvlJc w:val="left"/>
      <w:pPr>
        <w:ind w:left="720" w:hanging="360"/>
      </w:pPr>
      <w:rPr>
        <w:rFonts w:ascii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4B6"/>
    <w:multiLevelType w:val="hybridMultilevel"/>
    <w:tmpl w:val="F2962B24"/>
    <w:lvl w:ilvl="0" w:tplc="D660BF4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400D"/>
    <w:multiLevelType w:val="hybridMultilevel"/>
    <w:tmpl w:val="617EA3CC"/>
    <w:lvl w:ilvl="0" w:tplc="4E5EED48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A606C"/>
    <w:multiLevelType w:val="hybridMultilevel"/>
    <w:tmpl w:val="DBD2AB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F66DFB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6180"/>
        </w:tabs>
        <w:ind w:left="618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032695"/>
    <w:rsid w:val="000F48ED"/>
    <w:rsid w:val="00850DAB"/>
    <w:rsid w:val="008E3CBB"/>
    <w:rsid w:val="008F25F2"/>
    <w:rsid w:val="00B314A3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mustansiriyah.edu.iq" TargetMode="External"/><Relationship Id="rId12" Type="http://schemas.openxmlformats.org/officeDocument/2006/relationships/hyperlink" Target="http://www.medicine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mansoura.com" TargetMode="External"/><Relationship Id="rId11" Type="http://schemas.openxmlformats.org/officeDocument/2006/relationships/hyperlink" Target="http://www.radiologyinfo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dc.gov/ncidod/dbmd/diseaseinfo/groupastreptococcal_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2598</Characters>
  <Application>Microsoft Office Word</Application>
  <DocSecurity>0</DocSecurity>
  <Lines>21</Lines>
  <Paragraphs>6</Paragraphs>
  <ScaleCrop>false</ScaleCrop>
  <Company>SACC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2022-06-05T16:35:00Z</dcterms:created>
  <dcterms:modified xsi:type="dcterms:W3CDTF">2022-06-08T19:23:00Z</dcterms:modified>
</cp:coreProperties>
</file>