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86" w:rsidRDefault="007B5273" w:rsidP="007B5273">
      <w:pPr>
        <w:jc w:val="center"/>
      </w:pPr>
      <w:r>
        <w:rPr>
          <w:noProof/>
        </w:rPr>
        <w:drawing>
          <wp:inline distT="0" distB="0" distL="0" distR="0" wp14:anchorId="3D9A91B9" wp14:editId="6DD54C42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486" w:rsidRPr="007B5273" w:rsidRDefault="004F2486" w:rsidP="004F2486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7B5273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4F2486" w:rsidRPr="007B5273" w:rsidRDefault="004F2486" w:rsidP="007B527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B5273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tbl>
      <w:tblPr>
        <w:bidiVisual/>
        <w:tblW w:w="9145" w:type="dxa"/>
        <w:tblInd w:w="-4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20"/>
        <w:gridCol w:w="5058"/>
      </w:tblGrid>
      <w:tr w:rsidR="004F2486" w:rsidRPr="007B5273" w:rsidTr="004F248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الأحياء الدقيقة الطبية </w:t>
            </w: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II</w:t>
            </w: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  </w:t>
            </w: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PH 405</w:t>
            </w:r>
          </w:p>
        </w:tc>
      </w:tr>
      <w:tr w:rsidR="004F2486" w:rsidRPr="007B5273" w:rsidTr="004F248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أ. صالحة خميس محمد علي</w:t>
            </w:r>
          </w:p>
        </w:tc>
      </w:tr>
      <w:tr w:rsidR="004F2486" w:rsidRPr="007B5273" w:rsidTr="004F248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قسم الصحة العامة</w:t>
            </w:r>
          </w:p>
        </w:tc>
      </w:tr>
      <w:tr w:rsidR="004F2486" w:rsidRPr="007B5273" w:rsidTr="004F248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  <w:tr w:rsidR="004F2486" w:rsidRPr="007B5273" w:rsidTr="004F248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52 ساعة دراسية</w:t>
            </w:r>
          </w:p>
        </w:tc>
      </w:tr>
      <w:tr w:rsidR="004F2486" w:rsidRPr="007B5273" w:rsidTr="004F248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اللغة العربية/ اللغة الإنجليزية</w:t>
            </w:r>
          </w:p>
        </w:tc>
      </w:tr>
      <w:tr w:rsidR="004F2486" w:rsidRPr="007B5273" w:rsidTr="004F248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الفصل الدراسي الرابع</w:t>
            </w:r>
          </w:p>
        </w:tc>
      </w:tr>
      <w:tr w:rsidR="004F2486" w:rsidRPr="007B5273" w:rsidTr="004F248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2486" w:rsidRPr="007B5273" w:rsidRDefault="004F248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2011/2012 – جامعة سبها</w:t>
            </w:r>
          </w:p>
        </w:tc>
      </w:tr>
    </w:tbl>
    <w:p w:rsidR="004F2486" w:rsidRPr="007B5273" w:rsidRDefault="004F2486" w:rsidP="007D6BB5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</w:rPr>
      </w:pPr>
      <w:r w:rsidRPr="007B5273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4F2486" w:rsidRPr="007B5273" w:rsidRDefault="004F2486" w:rsidP="004F2486">
      <w:pPr>
        <w:numPr>
          <w:ilvl w:val="0"/>
          <w:numId w:val="5"/>
        </w:numPr>
        <w:tabs>
          <w:tab w:val="left" w:pos="515"/>
        </w:tabs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7B5273">
        <w:rPr>
          <w:rFonts w:ascii="Calibri" w:eastAsia="Times New Roman" w:hAnsi="Calibri" w:cs="Calibri"/>
          <w:sz w:val="28"/>
          <w:szCs w:val="28"/>
          <w:rtl/>
        </w:rPr>
        <w:t xml:space="preserve">التعرف </w:t>
      </w:r>
      <w:proofErr w:type="gramStart"/>
      <w:r w:rsidRPr="007B5273">
        <w:rPr>
          <w:rFonts w:ascii="Calibri" w:eastAsia="Times New Roman" w:hAnsi="Calibri" w:cs="Calibri"/>
          <w:sz w:val="28"/>
          <w:szCs w:val="28"/>
          <w:rtl/>
        </w:rPr>
        <w:t>علي</w:t>
      </w:r>
      <w:proofErr w:type="gramEnd"/>
      <w:r w:rsidRPr="007B5273">
        <w:rPr>
          <w:rFonts w:ascii="Calibri" w:eastAsia="Times New Roman" w:hAnsi="Calibri" w:cs="Calibri"/>
          <w:sz w:val="28"/>
          <w:szCs w:val="28"/>
          <w:rtl/>
        </w:rPr>
        <w:t xml:space="preserve"> أصناف الفيروسات وأماكن إصابتها.</w:t>
      </w:r>
    </w:p>
    <w:p w:rsidR="004F2486" w:rsidRPr="007B5273" w:rsidRDefault="004F2486" w:rsidP="004F2486">
      <w:pPr>
        <w:tabs>
          <w:tab w:val="left" w:pos="515"/>
        </w:tabs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4F2486" w:rsidRPr="007B5273" w:rsidRDefault="004F2486" w:rsidP="004F2486">
      <w:pPr>
        <w:numPr>
          <w:ilvl w:val="0"/>
          <w:numId w:val="5"/>
        </w:numPr>
        <w:tabs>
          <w:tab w:val="left" w:pos="515"/>
        </w:tabs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7B5273">
        <w:rPr>
          <w:rFonts w:ascii="Calibri" w:eastAsia="Times New Roman" w:hAnsi="Calibri" w:cs="Calibri"/>
          <w:sz w:val="28"/>
          <w:szCs w:val="28"/>
          <w:rtl/>
        </w:rPr>
        <w:t xml:space="preserve">التعرف </w:t>
      </w:r>
      <w:proofErr w:type="gramStart"/>
      <w:r w:rsidRPr="007B5273">
        <w:rPr>
          <w:rFonts w:ascii="Calibri" w:eastAsia="Times New Roman" w:hAnsi="Calibri" w:cs="Calibri"/>
          <w:sz w:val="28"/>
          <w:szCs w:val="28"/>
          <w:rtl/>
        </w:rPr>
        <w:t>علي</w:t>
      </w:r>
      <w:proofErr w:type="gramEnd"/>
      <w:r w:rsidRPr="007B5273">
        <w:rPr>
          <w:rFonts w:ascii="Calibri" w:eastAsia="Times New Roman" w:hAnsi="Calibri" w:cs="Calibri"/>
          <w:sz w:val="28"/>
          <w:szCs w:val="28"/>
          <w:rtl/>
        </w:rPr>
        <w:t xml:space="preserve"> الفطريات والأمراض الناتجة عنها</w:t>
      </w:r>
    </w:p>
    <w:p w:rsidR="004F2486" w:rsidRPr="007B5273" w:rsidRDefault="004F2486" w:rsidP="004F2486">
      <w:pPr>
        <w:bidi w:val="0"/>
        <w:spacing w:after="0" w:line="240" w:lineRule="auto"/>
        <w:rPr>
          <w:rFonts w:ascii="Calibri" w:eastAsia="Times New Roman" w:hAnsi="Calibri" w:cs="Calibri"/>
          <w:sz w:val="28"/>
          <w:szCs w:val="28"/>
          <w:rtl/>
        </w:rPr>
      </w:pPr>
    </w:p>
    <w:p w:rsidR="004F2486" w:rsidRPr="007B5273" w:rsidRDefault="004F2486" w:rsidP="004F2486">
      <w:pPr>
        <w:numPr>
          <w:ilvl w:val="0"/>
          <w:numId w:val="5"/>
        </w:numPr>
        <w:tabs>
          <w:tab w:val="left" w:pos="515"/>
        </w:tabs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7B5273">
        <w:rPr>
          <w:rFonts w:ascii="Calibri" w:eastAsia="Times New Roman" w:hAnsi="Calibri" w:cs="Calibri"/>
          <w:sz w:val="28"/>
          <w:szCs w:val="28"/>
          <w:rtl/>
        </w:rPr>
        <w:t xml:space="preserve">دراسة فيروسات </w:t>
      </w:r>
      <w:r w:rsidRPr="007B5273">
        <w:rPr>
          <w:rFonts w:ascii="Calibri" w:eastAsia="Times New Roman" w:hAnsi="Calibri" w:cs="Calibri"/>
          <w:sz w:val="28"/>
          <w:szCs w:val="28"/>
        </w:rPr>
        <w:t>DNA</w:t>
      </w:r>
      <w:proofErr w:type="gramStart"/>
      <w:r w:rsidRPr="007B5273">
        <w:rPr>
          <w:rFonts w:ascii="Calibri" w:eastAsia="Times New Roman" w:hAnsi="Calibri" w:cs="Calibri"/>
          <w:sz w:val="28"/>
          <w:szCs w:val="28"/>
        </w:rPr>
        <w:t xml:space="preserve"> ,</w:t>
      </w:r>
      <w:proofErr w:type="gramEnd"/>
      <w:r w:rsidRPr="007B5273">
        <w:rPr>
          <w:rFonts w:ascii="Calibri" w:eastAsia="Times New Roman" w:hAnsi="Calibri" w:cs="Calibri"/>
          <w:sz w:val="28"/>
          <w:szCs w:val="28"/>
        </w:rPr>
        <w:t xml:space="preserve"> RNA</w:t>
      </w:r>
    </w:p>
    <w:p w:rsidR="007D6BB5" w:rsidRDefault="007D6BB5" w:rsidP="007D6BB5">
      <w:pPr>
        <w:tabs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7D6BB5" w:rsidRDefault="007D6BB5" w:rsidP="007D6BB5">
      <w:pPr>
        <w:tabs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7D6BB5" w:rsidRDefault="007D6BB5" w:rsidP="007D6BB5">
      <w:pPr>
        <w:tabs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7B5273" w:rsidRDefault="007B5273" w:rsidP="007D6BB5">
      <w:pPr>
        <w:tabs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7B5273" w:rsidRDefault="007B5273" w:rsidP="007D6BB5">
      <w:pPr>
        <w:tabs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7B5273" w:rsidRDefault="007B5273" w:rsidP="007D6BB5">
      <w:pPr>
        <w:tabs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</w:rPr>
      </w:pPr>
    </w:p>
    <w:p w:rsidR="007B5273" w:rsidRPr="00C5418E" w:rsidRDefault="007B5273" w:rsidP="007D6BB5">
      <w:pPr>
        <w:tabs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AL-Mateen"/>
          <w:sz w:val="28"/>
          <w:szCs w:val="28"/>
        </w:rPr>
      </w:pPr>
    </w:p>
    <w:p w:rsidR="004F2486" w:rsidRPr="007B5273" w:rsidRDefault="004F2486" w:rsidP="007D6BB5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7B5273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9198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1368"/>
        <w:gridCol w:w="1197"/>
        <w:gridCol w:w="912"/>
        <w:gridCol w:w="969"/>
      </w:tblGrid>
      <w:tr w:rsidR="004F2486" w:rsidRPr="007B5273" w:rsidTr="004F5B7A">
        <w:trPr>
          <w:trHeight w:hRule="exact" w:val="942"/>
        </w:trPr>
        <w:tc>
          <w:tcPr>
            <w:tcW w:w="4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F2486" w:rsidRPr="007B5273" w:rsidRDefault="004F248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4F2486" w:rsidRPr="007B5273" w:rsidRDefault="004F248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F2486" w:rsidRPr="007B5273" w:rsidRDefault="004F248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F2486" w:rsidRPr="007B5273" w:rsidRDefault="004F248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4F2486" w:rsidRPr="007B5273" w:rsidRDefault="004F248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F2486" w:rsidRPr="007B5273" w:rsidRDefault="004F248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4F2486" w:rsidRPr="007B5273" w:rsidRDefault="004F248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F2486" w:rsidRPr="007B5273" w:rsidRDefault="004F248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4F2486" w:rsidRPr="007B5273" w:rsidRDefault="004F248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4F2486" w:rsidRPr="007B5273" w:rsidTr="004F5B7A">
        <w:trPr>
          <w:trHeight w:hRule="exact" w:val="435"/>
        </w:trPr>
        <w:tc>
          <w:tcPr>
            <w:tcW w:w="47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bidi w:val="0"/>
              <w:spacing w:after="0" w:line="360" w:lineRule="auto"/>
              <w:ind w:left="36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دراسة بعض أمراض الفطريات </w:t>
            </w:r>
            <w:proofErr w:type="gramStart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السطحية  الجلدية</w:t>
            </w:r>
            <w:proofErr w:type="gram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 فوق الجلدية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sz w:val="28"/>
                <w:szCs w:val="28"/>
                <w:highlight w:val="lightGray"/>
                <w:lang w:bidi="ar-LY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highlight w:val="lightGray"/>
                <w:rtl/>
                <w:lang w:bidi="ar-LY"/>
              </w:rPr>
              <w:t>-</w:t>
            </w:r>
          </w:p>
        </w:tc>
      </w:tr>
      <w:tr w:rsidR="004F2486" w:rsidRPr="007B5273" w:rsidTr="004F5B7A">
        <w:trPr>
          <w:trHeight w:hRule="exact" w:val="792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دراسة بعض أمراض الفطريات الجلدية 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Subcutaneous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718"/>
        </w:trPr>
        <w:tc>
          <w:tcPr>
            <w:tcW w:w="4752" w:type="dxa"/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دراسة بعض أمراض الفطريات العميقة 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Deep fungi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532"/>
        </w:trPr>
        <w:tc>
          <w:tcPr>
            <w:tcW w:w="4752" w:type="dxa"/>
          </w:tcPr>
          <w:p w:rsidR="004F2486" w:rsidRPr="007B5273" w:rsidRDefault="004F2486" w:rsidP="004F5B7A">
            <w:pPr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تصنيف الفيروسات وتأثيرها </w:t>
            </w:r>
            <w:proofErr w:type="gramStart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علي</w:t>
            </w:r>
            <w:proofErr w:type="gram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خلايا العائل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452"/>
        </w:trPr>
        <w:tc>
          <w:tcPr>
            <w:tcW w:w="4752" w:type="dxa"/>
          </w:tcPr>
          <w:p w:rsidR="004F2486" w:rsidRPr="007B5273" w:rsidRDefault="004F2486" w:rsidP="004F5B7A">
            <w:pPr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التضاعف الفيروسي وتأثيره </w:t>
            </w:r>
            <w:proofErr w:type="gramStart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علي</w:t>
            </w:r>
            <w:proofErr w:type="gram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خلايا العائل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442"/>
        </w:trPr>
        <w:tc>
          <w:tcPr>
            <w:tcW w:w="4752" w:type="dxa"/>
          </w:tcPr>
          <w:p w:rsidR="004F2486" w:rsidRPr="007B5273" w:rsidRDefault="004F2486" w:rsidP="004F5B7A">
            <w:pPr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دراسة أنواع الفيروسات الممرضة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820"/>
        </w:trPr>
        <w:tc>
          <w:tcPr>
            <w:tcW w:w="4752" w:type="dxa"/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دراسة فيروسات </w:t>
            </w:r>
            <w:proofErr w:type="gramStart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DNA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,</w:t>
            </w:r>
            <w:proofErr w:type="gram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فيروسات </w:t>
            </w:r>
            <w:proofErr w:type="spellStart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Papovaviruses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7B5273">
        <w:trPr>
          <w:trHeight w:hRule="exact" w:val="758"/>
        </w:trPr>
        <w:tc>
          <w:tcPr>
            <w:tcW w:w="4752" w:type="dxa"/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دراسة فيروسات 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DNA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فيروسات </w:t>
            </w:r>
            <w:proofErr w:type="gramStart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الجذري,</w:t>
            </w:r>
            <w:proofErr w:type="gram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proofErr w:type="spellStart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الهيربس</w:t>
            </w:r>
            <w:proofErr w:type="spell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والغدية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990"/>
        </w:trPr>
        <w:tc>
          <w:tcPr>
            <w:tcW w:w="4752" w:type="dxa"/>
          </w:tcPr>
          <w:p w:rsidR="004F2486" w:rsidRPr="007B5273" w:rsidRDefault="004F2486" w:rsidP="004F5B7A">
            <w:pPr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دراسة فيروسات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gramStart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 xml:space="preserve">RNA  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فيروسات</w:t>
            </w:r>
            <w:proofErr w:type="gram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الانفلونزا , المخاطية و نظير المخاطية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849"/>
        </w:trPr>
        <w:tc>
          <w:tcPr>
            <w:tcW w:w="4752" w:type="dxa"/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دراسة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فيروسات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gramStart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 xml:space="preserve">RNA  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فيروسات</w:t>
            </w:r>
            <w:proofErr w:type="gram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proofErr w:type="spellStart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Rhqoloviruses</w:t>
            </w:r>
            <w:proofErr w:type="spellEnd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 xml:space="preserve">, </w:t>
            </w:r>
            <w:proofErr w:type="spellStart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Piconoviruses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988"/>
        </w:trPr>
        <w:tc>
          <w:tcPr>
            <w:tcW w:w="4752" w:type="dxa"/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دراسة فيروسات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gramStart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 xml:space="preserve">RNA  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فيروسات</w:t>
            </w:r>
            <w:proofErr w:type="spellStart"/>
            <w:proofErr w:type="gramEnd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Togaviruses</w:t>
            </w:r>
            <w:proofErr w:type="spellEnd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 xml:space="preserve">, </w:t>
            </w:r>
            <w:proofErr w:type="spellStart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Heptaviruses</w:t>
            </w:r>
            <w:proofErr w:type="spellEnd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 xml:space="preserve">, Retroviruses , </w:t>
            </w:r>
            <w:proofErr w:type="spellStart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Amaviruses</w:t>
            </w:r>
            <w:proofErr w:type="spellEnd"/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916"/>
        </w:trPr>
        <w:tc>
          <w:tcPr>
            <w:tcW w:w="4752" w:type="dxa"/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دراسة بعض أمراض الفطريات العميقة 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Deep fungi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622"/>
        </w:trPr>
        <w:tc>
          <w:tcPr>
            <w:tcW w:w="4752" w:type="dxa"/>
          </w:tcPr>
          <w:p w:rsidR="004F2486" w:rsidRPr="007B5273" w:rsidRDefault="004F2486" w:rsidP="004F5B7A">
            <w:pPr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تصنيف الفيروسات وتأثيرها </w:t>
            </w:r>
            <w:proofErr w:type="gramStart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علي</w:t>
            </w:r>
            <w:proofErr w:type="gram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خلايا العائل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460"/>
        </w:trPr>
        <w:tc>
          <w:tcPr>
            <w:tcW w:w="4752" w:type="dxa"/>
          </w:tcPr>
          <w:p w:rsidR="004F2486" w:rsidRPr="007B5273" w:rsidRDefault="004F2486" w:rsidP="004F5B7A">
            <w:pPr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التضاعف الفيروسي وتأثيره </w:t>
            </w:r>
            <w:proofErr w:type="gramStart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علي</w:t>
            </w:r>
            <w:proofErr w:type="gram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خلايا العائل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460"/>
        </w:trPr>
        <w:tc>
          <w:tcPr>
            <w:tcW w:w="4752" w:type="dxa"/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احتياطات السلامة في المعمل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460"/>
        </w:trPr>
        <w:tc>
          <w:tcPr>
            <w:tcW w:w="4752" w:type="dxa"/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المجهر الالكتروني النفاذ والماسح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460"/>
        </w:trPr>
        <w:tc>
          <w:tcPr>
            <w:tcW w:w="4752" w:type="dxa"/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تشخيص الفطريات وأنواع الأوساط </w:t>
            </w:r>
            <w:proofErr w:type="spellStart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الزرعية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460"/>
        </w:trPr>
        <w:tc>
          <w:tcPr>
            <w:tcW w:w="4752" w:type="dxa"/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طرق فحص المزارع الفطرية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460"/>
        </w:trPr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تشخيص  الفيروسات</w:t>
            </w:r>
            <w:proofErr w:type="gram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وأنواع المزارع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460"/>
        </w:trPr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lastRenderedPageBreak/>
              <w:t>اكتشاف الأجسام المضادة للفيروسات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460"/>
        </w:trPr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اكتشاف </w:t>
            </w:r>
            <w:proofErr w:type="spellStart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الانتيجينات</w:t>
            </w:r>
            <w:proofErr w:type="spellEnd"/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الفيروسية 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ELISA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  <w:tr w:rsidR="004F2486" w:rsidRPr="007B5273" w:rsidTr="004F5B7A">
        <w:trPr>
          <w:trHeight w:hRule="exact" w:val="460"/>
        </w:trPr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الكشف عن الأحماض النووية تفاعل </w:t>
            </w:r>
            <w:r w:rsidRPr="007B5273">
              <w:rPr>
                <w:rFonts w:ascii="Calibri" w:eastAsia="Times New Roman" w:hAnsi="Calibri" w:cs="Calibri"/>
                <w:sz w:val="28"/>
                <w:szCs w:val="28"/>
              </w:rPr>
              <w:t>PCR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86" w:rsidRPr="007B5273" w:rsidRDefault="007B527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-</w:t>
            </w:r>
          </w:p>
        </w:tc>
      </w:tr>
    </w:tbl>
    <w:p w:rsidR="004F2486" w:rsidRPr="007B5273" w:rsidRDefault="004F2486" w:rsidP="007D6BB5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7B5273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4F2486" w:rsidRPr="007B5273" w:rsidRDefault="004F2486" w:rsidP="004F2486">
      <w:pPr>
        <w:numPr>
          <w:ilvl w:val="0"/>
          <w:numId w:val="3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7B5273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7B5273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7B5273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4F2486" w:rsidRPr="007B5273" w:rsidRDefault="004F2486" w:rsidP="004F2486">
      <w:pPr>
        <w:numPr>
          <w:ilvl w:val="0"/>
          <w:numId w:val="3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7B5273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7B5273">
        <w:rPr>
          <w:rFonts w:ascii="Calibri" w:eastAsia="Times New Roman" w:hAnsi="Calibri" w:cs="Calibri"/>
          <w:sz w:val="28"/>
          <w:szCs w:val="28"/>
        </w:rPr>
        <w:t xml:space="preserve">Data </w:t>
      </w:r>
      <w:proofErr w:type="gramStart"/>
      <w:r w:rsidRPr="007B5273">
        <w:rPr>
          <w:rFonts w:ascii="Calibri" w:eastAsia="Times New Roman" w:hAnsi="Calibri" w:cs="Calibri"/>
          <w:sz w:val="28"/>
          <w:szCs w:val="28"/>
        </w:rPr>
        <w:t>show</w:t>
      </w:r>
      <w:r w:rsidRPr="007B5273">
        <w:rPr>
          <w:rFonts w:ascii="Calibri" w:eastAsia="Times New Roman" w:hAnsi="Calibri" w:cs="Calibri"/>
          <w:sz w:val="28"/>
          <w:szCs w:val="28"/>
          <w:rtl/>
        </w:rPr>
        <w:t xml:space="preserve"> .</w:t>
      </w:r>
      <w:proofErr w:type="gramEnd"/>
    </w:p>
    <w:p w:rsidR="004F2486" w:rsidRPr="007B5273" w:rsidRDefault="004F2486" w:rsidP="004F2486">
      <w:pPr>
        <w:numPr>
          <w:ilvl w:val="0"/>
          <w:numId w:val="3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7B5273">
        <w:rPr>
          <w:rFonts w:ascii="Calibri" w:eastAsia="Times New Roman" w:hAnsi="Calibri" w:cs="Calibri"/>
          <w:sz w:val="28"/>
          <w:szCs w:val="28"/>
          <w:rtl/>
        </w:rPr>
        <w:t>عرض مقاطع فيديو علمية.</w:t>
      </w:r>
    </w:p>
    <w:p w:rsidR="004F2486" w:rsidRPr="007B5273" w:rsidRDefault="004F2486" w:rsidP="004F2486">
      <w:pPr>
        <w:numPr>
          <w:ilvl w:val="0"/>
          <w:numId w:val="3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7B5273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 وخاصة في الجزء العملي.</w:t>
      </w:r>
    </w:p>
    <w:p w:rsidR="004F2486" w:rsidRPr="007B5273" w:rsidRDefault="004F2486" w:rsidP="007D6BB5">
      <w:pPr>
        <w:numPr>
          <w:ilvl w:val="0"/>
          <w:numId w:val="3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7B5273">
        <w:rPr>
          <w:rFonts w:ascii="Calibri" w:eastAsia="Times New Roman" w:hAnsi="Calibri" w:cs="Calibri"/>
          <w:sz w:val="28"/>
          <w:szCs w:val="28"/>
          <w:rtl/>
        </w:rPr>
        <w:t>زيارات ميدانية وحقلية إلى الحقول ومختبرات التشخيص المختلفة.</w:t>
      </w:r>
    </w:p>
    <w:p w:rsidR="004F2486" w:rsidRPr="007B5273" w:rsidRDefault="004F2486" w:rsidP="007D6BB5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7B5273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2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8"/>
        <w:gridCol w:w="2999"/>
        <w:gridCol w:w="1440"/>
      </w:tblGrid>
      <w:tr w:rsidR="004F2486" w:rsidRPr="007B5273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4F2486" w:rsidRPr="007B5273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المشاركة والتقارير العملية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اسبوعيا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5%</w:t>
            </w:r>
          </w:p>
        </w:tc>
      </w:tr>
      <w:tr w:rsidR="004F2486" w:rsidRPr="007B5273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الامتحان النصفي النظري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الثاني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20%</w:t>
            </w:r>
          </w:p>
        </w:tc>
      </w:tr>
      <w:tr w:rsidR="004F2486" w:rsidRPr="007B5273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العملي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الاسبوع الثاني عشر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25%</w:t>
            </w:r>
          </w:p>
        </w:tc>
      </w:tr>
      <w:tr w:rsidR="004F2486" w:rsidRPr="007B5273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الرابع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sz w:val="28"/>
                <w:szCs w:val="28"/>
                <w:rtl/>
              </w:rPr>
              <w:t>50%</w:t>
            </w:r>
          </w:p>
        </w:tc>
      </w:tr>
      <w:tr w:rsidR="004F2486" w:rsidRPr="007B5273" w:rsidTr="004F5B7A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</w:t>
            </w: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%</w:t>
            </w:r>
          </w:p>
        </w:tc>
      </w:tr>
    </w:tbl>
    <w:p w:rsidR="004F2486" w:rsidRPr="007B5273" w:rsidRDefault="004F2486" w:rsidP="007D6BB5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7B5273">
        <w:rPr>
          <w:rFonts w:ascii="Calibri" w:eastAsia="Times New Roman" w:hAnsi="Calibri" w:cs="Calibri"/>
          <w:b/>
          <w:bCs/>
          <w:sz w:val="32"/>
          <w:szCs w:val="32"/>
          <w:rtl/>
        </w:rPr>
        <w:t>المراجع والدوريات</w:t>
      </w:r>
    </w:p>
    <w:tbl>
      <w:tblPr>
        <w:bidiVisual/>
        <w:tblW w:w="9396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550"/>
        <w:gridCol w:w="1437"/>
        <w:gridCol w:w="1620"/>
        <w:gridCol w:w="2700"/>
      </w:tblGrid>
      <w:tr w:rsidR="004F2486" w:rsidRPr="007B5273" w:rsidTr="004F5B7A">
        <w:trPr>
          <w:cantSplit/>
          <w:trHeight w:hRule="exact" w:val="567"/>
          <w:jc w:val="right"/>
        </w:trPr>
        <w:tc>
          <w:tcPr>
            <w:tcW w:w="20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4F2486" w:rsidRPr="007B5273" w:rsidRDefault="004F2486" w:rsidP="004F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4F2486" w:rsidRPr="007B5273" w:rsidTr="004F5B7A">
        <w:trPr>
          <w:cantSplit/>
          <w:trHeight w:hRule="exact" w:val="1492"/>
          <w:jc w:val="right"/>
        </w:trPr>
        <w:tc>
          <w:tcPr>
            <w:tcW w:w="20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F2486" w:rsidRPr="007B5273" w:rsidRDefault="004F2486" w:rsidP="004F248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proofErr w:type="gramStart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>المثني,</w:t>
            </w:r>
            <w:proofErr w:type="gramEnd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>أ</w:t>
            </w:r>
            <w:proofErr w:type="spellEnd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, يوسف 1999. علم الاحياء الدقيقة</w:t>
            </w:r>
          </w:p>
          <w:p w:rsidR="004F2486" w:rsidRPr="007B5273" w:rsidRDefault="004F2486" w:rsidP="004F248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>سيالة</w:t>
            </w:r>
            <w:proofErr w:type="gramStart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,</w:t>
            </w:r>
            <w:proofErr w:type="gramEnd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ح, عبدالرؤوف 1990. </w:t>
            </w:r>
            <w:proofErr w:type="spellStart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>مذطرات</w:t>
            </w:r>
            <w:proofErr w:type="spellEnd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في </w:t>
            </w:r>
            <w:proofErr w:type="spellStart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>البكتيريولوجيا</w:t>
            </w:r>
            <w:proofErr w:type="spellEnd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العملية.</w:t>
            </w:r>
          </w:p>
          <w:p w:rsidR="004F2486" w:rsidRPr="007B5273" w:rsidRDefault="004F2486" w:rsidP="004F248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>معارج,</w:t>
            </w:r>
            <w:proofErr w:type="gramEnd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م, عبدالله 1995. اسس الوراثة </w:t>
            </w:r>
            <w:proofErr w:type="spellStart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>الاجيائ</w:t>
            </w:r>
            <w:proofErr w:type="spellEnd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الدقيقة.</w:t>
            </w:r>
          </w:p>
          <w:p w:rsidR="004F2486" w:rsidRPr="007B5273" w:rsidRDefault="004F2486" w:rsidP="004F2486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</w:pPr>
            <w:proofErr w:type="gramStart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4- </w:t>
            </w:r>
            <w:proofErr w:type="spellStart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>الربطي.م</w:t>
            </w:r>
            <w:proofErr w:type="spellEnd"/>
            <w:proofErr w:type="gramEnd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,عبدالله 1997.  علم </w:t>
            </w:r>
            <w:proofErr w:type="spellStart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>الاحيائ</w:t>
            </w:r>
            <w:proofErr w:type="spellEnd"/>
            <w:r w:rsidRPr="007B5273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الدقيقة</w:t>
            </w:r>
          </w:p>
        </w:tc>
      </w:tr>
      <w:tr w:rsidR="004F2486" w:rsidRPr="007B5273" w:rsidTr="004F5B7A">
        <w:trPr>
          <w:cantSplit/>
          <w:trHeight w:hRule="exact" w:val="4688"/>
          <w:jc w:val="right"/>
        </w:trPr>
        <w:tc>
          <w:tcPr>
            <w:tcW w:w="20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4F2486" w:rsidP="004F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B527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lastRenderedPageBreak/>
              <w:t>كتب مساعدة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F2486" w:rsidRPr="007B5273" w:rsidRDefault="004F2486" w:rsidP="004F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4F2486" w:rsidRPr="007B5273" w:rsidRDefault="004F2486" w:rsidP="004F248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 xml:space="preserve">Levinson, W., &amp; </w:t>
            </w:r>
            <w:proofErr w:type="spellStart"/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>Jawetz</w:t>
            </w:r>
            <w:proofErr w:type="spellEnd"/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>, E. (1996). Medical microbiology and immunology: examination and board review. Appleton &amp; Lange.</w:t>
            </w:r>
          </w:p>
          <w:p w:rsidR="004F2486" w:rsidRPr="007B5273" w:rsidRDefault="004F2486" w:rsidP="004F248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lightGray"/>
              </w:rPr>
            </w:pPr>
          </w:p>
          <w:p w:rsidR="004F2486" w:rsidRPr="007B5273" w:rsidRDefault="004F2486" w:rsidP="004F248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 xml:space="preserve">Riedel, S., Morse, S. A., </w:t>
            </w:r>
            <w:proofErr w:type="spellStart"/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>Mietzner</w:t>
            </w:r>
            <w:proofErr w:type="spellEnd"/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 xml:space="preserve">, T. A., &amp; Miller, S. (2019). </w:t>
            </w:r>
            <w:proofErr w:type="spellStart"/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>Jawetz</w:t>
            </w:r>
            <w:proofErr w:type="spellEnd"/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>Melnick</w:t>
            </w:r>
            <w:proofErr w:type="spellEnd"/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 xml:space="preserve"> &amp; </w:t>
            </w:r>
            <w:proofErr w:type="spellStart"/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>Adelbergs</w:t>
            </w:r>
            <w:proofErr w:type="spellEnd"/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 xml:space="preserve"> Medical Microbiology 28 E. McGraw Hill Professional.</w:t>
            </w:r>
          </w:p>
          <w:p w:rsidR="004F2486" w:rsidRPr="007B5273" w:rsidRDefault="004F2486" w:rsidP="004F248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4F2486" w:rsidRPr="007B5273" w:rsidRDefault="004F2486" w:rsidP="004F248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7B5273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</w:rPr>
              <w:t>Acheson, N. H. (2011). </w:t>
            </w:r>
            <w:r w:rsidRPr="007B5273">
              <w:rPr>
                <w:rFonts w:ascii="Calibri" w:eastAsia="Times New Roman" w:hAnsi="Calibri" w:cs="Calibri"/>
                <w:i/>
                <w:iCs/>
                <w:color w:val="222222"/>
                <w:sz w:val="24"/>
                <w:szCs w:val="24"/>
                <w:shd w:val="clear" w:color="auto" w:fill="FFFFFF"/>
              </w:rPr>
              <w:t>Fundamentals of molecular virology</w:t>
            </w:r>
            <w:r w:rsidRPr="007B5273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</w:rPr>
              <w:t> (No. Ed. 2). John Wiley &amp; Sons, Inc.</w:t>
            </w:r>
          </w:p>
          <w:p w:rsidR="004F2486" w:rsidRPr="007B5273" w:rsidRDefault="004F2486" w:rsidP="004F248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B5273">
              <w:rPr>
                <w:rFonts w:ascii="Calibri" w:eastAsia="Times New Roman" w:hAnsi="Calibri" w:cs="Calibri"/>
                <w:sz w:val="24"/>
                <w:szCs w:val="24"/>
              </w:rPr>
              <w:t>Carter, J., Saunders, V., &amp; Saunders, V. A. (2007). Virology: principles and applications. John Wiley &amp; Sons.</w:t>
            </w:r>
          </w:p>
          <w:p w:rsidR="004F2486" w:rsidRPr="007B5273" w:rsidRDefault="004F2486" w:rsidP="004F248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4F2486" w:rsidRPr="007B5273" w:rsidRDefault="004F2486" w:rsidP="004F248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  <w:r w:rsidRPr="007B5273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</w:rPr>
              <w:t xml:space="preserve">Flint, J., </w:t>
            </w:r>
            <w:proofErr w:type="spellStart"/>
            <w:r w:rsidRPr="007B5273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</w:rPr>
              <w:t>Racaniello</w:t>
            </w:r>
            <w:proofErr w:type="spellEnd"/>
            <w:r w:rsidRPr="007B5273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</w:rPr>
              <w:t xml:space="preserve">, V. R., </w:t>
            </w:r>
            <w:proofErr w:type="spellStart"/>
            <w:r w:rsidRPr="007B5273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</w:rPr>
              <w:t>Rall</w:t>
            </w:r>
            <w:proofErr w:type="spellEnd"/>
            <w:r w:rsidRPr="007B5273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</w:rPr>
              <w:t xml:space="preserve">, G. F., &amp; </w:t>
            </w:r>
            <w:proofErr w:type="spellStart"/>
            <w:r w:rsidRPr="007B5273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</w:rPr>
              <w:t>Skalka</w:t>
            </w:r>
            <w:proofErr w:type="spellEnd"/>
            <w:r w:rsidRPr="007B5273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</w:rPr>
              <w:t>, A. M. (2015). Principles of virology, Volume II: pathogenesis &amp; control. </w:t>
            </w:r>
            <w:r w:rsidRPr="007B5273">
              <w:rPr>
                <w:rFonts w:ascii="Calibri" w:eastAsia="Times New Roman" w:hAnsi="Calibri" w:cs="Calibr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Principles of virology, Volume II: pathogenesis &amp; </w:t>
            </w:r>
            <w:proofErr w:type="gramStart"/>
            <w:r w:rsidRPr="007B5273">
              <w:rPr>
                <w:rFonts w:ascii="Calibri" w:eastAsia="Times New Roman" w:hAnsi="Calibri" w:cs="Calibri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control.</w:t>
            </w:r>
            <w:r w:rsidRPr="007B5273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7B5273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</w:rPr>
              <w:t xml:space="preserve"> (Ed. 4).</w:t>
            </w:r>
          </w:p>
        </w:tc>
      </w:tr>
      <w:tr w:rsidR="004F2486" w:rsidRPr="007B5273" w:rsidTr="004F5B7A">
        <w:trPr>
          <w:cantSplit/>
          <w:trHeight w:hRule="exact" w:val="2982"/>
          <w:jc w:val="right"/>
        </w:trPr>
        <w:tc>
          <w:tcPr>
            <w:tcW w:w="208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486" w:rsidRPr="007B5273" w:rsidRDefault="007B5273" w:rsidP="004F248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مواقع ا</w:t>
            </w: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لنت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F2486" w:rsidRPr="007B5273" w:rsidRDefault="007B5273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hyperlink r:id="rId6" w:history="1">
              <w:r w:rsidR="004F2486" w:rsidRPr="007B5273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https://ar.natapa.org</w:t>
              </w:r>
            </w:hyperlink>
          </w:p>
          <w:p w:rsidR="004F2486" w:rsidRPr="007B5273" w:rsidRDefault="004F2486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4F2486" w:rsidRPr="007B5273" w:rsidRDefault="007B5273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hyperlink r:id="rId7" w:history="1">
              <w:r w:rsidR="004F2486" w:rsidRPr="007B5273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https://www.jove.com</w:t>
              </w:r>
            </w:hyperlink>
          </w:p>
          <w:p w:rsidR="004F2486" w:rsidRPr="007B5273" w:rsidRDefault="004F2486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4F2486" w:rsidRPr="007B5273" w:rsidRDefault="007B5273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8" w:history="1">
              <w:r w:rsidR="004F2486" w:rsidRPr="007B5273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https://sci.uobasrah.edu.iq</w:t>
              </w:r>
            </w:hyperlink>
          </w:p>
          <w:p w:rsidR="004F2486" w:rsidRPr="007B5273" w:rsidRDefault="004F2486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4F2486" w:rsidRPr="007B5273" w:rsidRDefault="007B5273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hyperlink r:id="rId9" w:history="1">
              <w:r w:rsidR="004F2486" w:rsidRPr="007B5273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https://learnchemistry12.com</w:t>
              </w:r>
            </w:hyperlink>
          </w:p>
          <w:p w:rsidR="004F2486" w:rsidRPr="007B5273" w:rsidRDefault="004F2486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4F2486" w:rsidRPr="007B5273" w:rsidRDefault="007B5273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hyperlink r:id="rId10" w:history="1">
              <w:r w:rsidR="004F2486" w:rsidRPr="007B5273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https://ar.wikipedia.org</w:t>
              </w:r>
            </w:hyperlink>
          </w:p>
          <w:p w:rsidR="004F2486" w:rsidRPr="007B5273" w:rsidRDefault="004F2486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4F2486" w:rsidRPr="007B5273" w:rsidRDefault="004F2486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4F2486" w:rsidRPr="007B5273" w:rsidRDefault="004F2486" w:rsidP="004F2486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</w:tr>
    </w:tbl>
    <w:p w:rsidR="004F2486" w:rsidRPr="007B5273" w:rsidRDefault="004F2486" w:rsidP="004F2486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7B5273" w:rsidRDefault="007B5273" w:rsidP="007B5273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7B5273" w:rsidRDefault="007B5273" w:rsidP="007B5273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7B5273" w:rsidRDefault="007B5273" w:rsidP="007B5273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4F2486" w:rsidRPr="007B5273" w:rsidRDefault="004F2486" w:rsidP="007B5273">
      <w:pPr>
        <w:jc w:val="center"/>
        <w:rPr>
          <w:rFonts w:ascii="Calibri" w:hAnsi="Calibri" w:cs="Calibri"/>
          <w:sz w:val="28"/>
          <w:szCs w:val="28"/>
          <w:rtl/>
        </w:rPr>
      </w:pPr>
      <w:bookmarkStart w:id="0" w:name="_GoBack"/>
      <w:bookmarkEnd w:id="0"/>
      <w:r w:rsidRPr="007B5273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7B5273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4F2486" w:rsidRPr="007B5273" w:rsidRDefault="004F2486" w:rsidP="007B5273">
      <w:pPr>
        <w:jc w:val="center"/>
        <w:rPr>
          <w:rFonts w:ascii="Calibri" w:hAnsi="Calibri" w:cs="Calibri"/>
          <w:sz w:val="28"/>
          <w:szCs w:val="28"/>
          <w:rtl/>
        </w:rPr>
      </w:pPr>
      <w:r w:rsidRPr="007B5273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7B5273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7B5273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7B5273">
        <w:rPr>
          <w:rFonts w:ascii="Calibri" w:hAnsi="Calibri" w:cs="Calibri"/>
          <w:sz w:val="28"/>
          <w:szCs w:val="28"/>
          <w:rtl/>
        </w:rPr>
        <w:t>.</w:t>
      </w:r>
    </w:p>
    <w:p w:rsidR="004F2486" w:rsidRPr="007B5273" w:rsidRDefault="004F2486" w:rsidP="007B527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B5273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 </w:t>
      </w:r>
      <w:r w:rsidRPr="007B5273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7B5273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7B5273">
        <w:rPr>
          <w:rFonts w:ascii="Calibri" w:hAnsi="Calibri" w:cs="Calibri"/>
          <w:sz w:val="28"/>
          <w:szCs w:val="28"/>
          <w:rtl/>
        </w:rPr>
        <w:t xml:space="preserve"> سعد.</w:t>
      </w:r>
    </w:p>
    <w:p w:rsidR="000409CC" w:rsidRPr="004F2486" w:rsidRDefault="000409CC" w:rsidP="007B5273">
      <w:pPr>
        <w:jc w:val="center"/>
      </w:pPr>
    </w:p>
    <w:sectPr w:rsidR="000409CC" w:rsidRPr="004F2486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33F7D"/>
    <w:multiLevelType w:val="hybridMultilevel"/>
    <w:tmpl w:val="383E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B337F"/>
    <w:multiLevelType w:val="hybridMultilevel"/>
    <w:tmpl w:val="218EB25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653C3"/>
    <w:multiLevelType w:val="hybridMultilevel"/>
    <w:tmpl w:val="3F40F210"/>
    <w:lvl w:ilvl="0" w:tplc="09B6F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86"/>
    <w:rsid w:val="000409CC"/>
    <w:rsid w:val="004F2486"/>
    <w:rsid w:val="00670D90"/>
    <w:rsid w:val="007B5273"/>
    <w:rsid w:val="007D6BB5"/>
    <w:rsid w:val="009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5B1A0C-86D0-4ABA-A753-7E92CEE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86"/>
    <w:pPr>
      <w:ind w:left="720"/>
      <w:contextualSpacing/>
    </w:pPr>
  </w:style>
  <w:style w:type="table" w:styleId="a4">
    <w:name w:val="Table Grid"/>
    <w:basedOn w:val="a1"/>
    <w:uiPriority w:val="59"/>
    <w:rsid w:val="004F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.uobasrah.edu.i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v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natapa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r.wikipe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chemistry12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3</cp:revision>
  <dcterms:created xsi:type="dcterms:W3CDTF">2022-06-06T00:25:00Z</dcterms:created>
  <dcterms:modified xsi:type="dcterms:W3CDTF">2022-06-08T22:40:00Z</dcterms:modified>
</cp:coreProperties>
</file>