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C7" w:rsidRPr="00606A99" w:rsidRDefault="00606A99" w:rsidP="00606A99">
      <w:pPr>
        <w:jc w:val="center"/>
        <w:rPr>
          <w:rFonts w:ascii="Calibri" w:hAnsi="Calibri" w:cs="Calibri"/>
        </w:rPr>
      </w:pPr>
      <w:r w:rsidRPr="00606A99">
        <w:rPr>
          <w:rFonts w:ascii="Calibri" w:hAnsi="Calibri" w:cs="Calibri"/>
          <w:noProof/>
        </w:rPr>
        <w:drawing>
          <wp:inline distT="0" distB="0" distL="0" distR="0" wp14:anchorId="3AEB2DE3" wp14:editId="6B4C3967">
            <wp:extent cx="2164080" cy="1847215"/>
            <wp:effectExtent l="0" t="0" r="0" b="0"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3C7" w:rsidRPr="00606A99" w:rsidRDefault="008643C7" w:rsidP="008643C7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606A99">
        <w:rPr>
          <w:rFonts w:ascii="Calibri" w:hAnsi="Calibri" w:cs="Calibri"/>
          <w:b/>
          <w:bCs/>
          <w:sz w:val="32"/>
          <w:szCs w:val="32"/>
          <w:rtl/>
        </w:rPr>
        <w:t>كلية التقنية الطبية / مرزق</w:t>
      </w:r>
    </w:p>
    <w:p w:rsidR="008643C7" w:rsidRPr="00606A99" w:rsidRDefault="008643C7" w:rsidP="00212B25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606A99">
        <w:rPr>
          <w:rFonts w:ascii="Calibri" w:hAnsi="Calibri" w:cs="Calibri"/>
          <w:b/>
          <w:bCs/>
          <w:sz w:val="32"/>
          <w:szCs w:val="32"/>
          <w:rtl/>
        </w:rPr>
        <w:t>نموذج توصيف مقرر 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12"/>
        <w:gridCol w:w="4066"/>
      </w:tblGrid>
      <w:tr w:rsidR="008643C7" w:rsidRPr="00606A99" w:rsidTr="00606A99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اسم المقرر ورمزه</w:t>
            </w:r>
          </w:p>
        </w:tc>
        <w:tc>
          <w:tcPr>
            <w:tcW w:w="4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صحة المجتمع </w:t>
            </w: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PH 307</w:t>
            </w:r>
          </w:p>
        </w:tc>
      </w:tr>
      <w:tr w:rsidR="008643C7" w:rsidRPr="00606A99" w:rsidTr="00606A99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4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أ/السعيدي </w:t>
            </w:r>
            <w:proofErr w:type="spellStart"/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أبوالقاسم</w:t>
            </w:r>
            <w:proofErr w:type="spellEnd"/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السعيدي يوسف </w:t>
            </w:r>
          </w:p>
        </w:tc>
      </w:tr>
      <w:tr w:rsidR="008643C7" w:rsidRPr="00606A99" w:rsidTr="00606A99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قسم الصحة العامة</w:t>
            </w:r>
          </w:p>
        </w:tc>
      </w:tr>
      <w:tr w:rsidR="008643C7" w:rsidRPr="00606A99" w:rsidTr="00606A99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قسم العلاج </w:t>
            </w:r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الطبيعي  -</w:t>
            </w:r>
            <w:proofErr w:type="gram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  قسم تقنية الادوية </w:t>
            </w:r>
          </w:p>
        </w:tc>
      </w:tr>
      <w:tr w:rsidR="008643C7" w:rsidRPr="00606A99" w:rsidTr="00606A99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4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24 ساعة</w:t>
            </w: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دراسية</w:t>
            </w:r>
          </w:p>
        </w:tc>
      </w:tr>
      <w:tr w:rsidR="008643C7" w:rsidRPr="00606A99" w:rsidTr="00606A99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اللغة </w:t>
            </w: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الإنجليزية / اللغة العربية</w:t>
            </w:r>
          </w:p>
        </w:tc>
      </w:tr>
      <w:tr w:rsidR="008643C7" w:rsidRPr="00606A99" w:rsidTr="00606A99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4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الفصل الدراسي الثالث</w:t>
            </w:r>
          </w:p>
        </w:tc>
      </w:tr>
      <w:tr w:rsidR="008643C7" w:rsidRPr="00606A99" w:rsidTr="00606A99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4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2011/ 2012 </w:t>
            </w:r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-  </w:t>
            </w:r>
            <w:proofErr w:type="gram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جامعة سبها</w:t>
            </w:r>
          </w:p>
        </w:tc>
      </w:tr>
    </w:tbl>
    <w:p w:rsidR="008643C7" w:rsidRPr="00606A99" w:rsidRDefault="008643C7" w:rsidP="008643C7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8643C7" w:rsidRPr="00606A99" w:rsidRDefault="008643C7" w:rsidP="008643C7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8643C7" w:rsidRPr="00606A99" w:rsidRDefault="008643C7" w:rsidP="00606A99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606A99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8643C7" w:rsidRPr="00606A99" w:rsidRDefault="008643C7" w:rsidP="008643C7">
      <w:pPr>
        <w:numPr>
          <w:ilvl w:val="0"/>
          <w:numId w:val="3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  <w:lang w:val="en-IN"/>
        </w:rPr>
      </w:pPr>
      <w:r w:rsidRPr="00606A99">
        <w:rPr>
          <w:rFonts w:ascii="Calibri" w:eastAsia="Times New Roman" w:hAnsi="Calibri" w:cs="Calibri"/>
          <w:sz w:val="28"/>
          <w:szCs w:val="28"/>
          <w:rtl/>
        </w:rPr>
        <w:t xml:space="preserve">يهدف المقرر إلى تعليم الطالب أساسيات الصحة </w:t>
      </w:r>
      <w:proofErr w:type="gramStart"/>
      <w:r w:rsidRPr="00606A99">
        <w:rPr>
          <w:rFonts w:ascii="Calibri" w:eastAsia="Times New Roman" w:hAnsi="Calibri" w:cs="Calibri"/>
          <w:sz w:val="28"/>
          <w:szCs w:val="28"/>
          <w:rtl/>
        </w:rPr>
        <w:t>العامة .</w:t>
      </w:r>
      <w:proofErr w:type="gramEnd"/>
    </w:p>
    <w:p w:rsidR="008643C7" w:rsidRPr="00606A99" w:rsidRDefault="008643C7" w:rsidP="008643C7">
      <w:pPr>
        <w:numPr>
          <w:ilvl w:val="0"/>
          <w:numId w:val="3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606A99">
        <w:rPr>
          <w:rFonts w:ascii="Calibri" w:eastAsia="Times New Roman" w:hAnsi="Calibri" w:cs="Calibri"/>
          <w:sz w:val="28"/>
          <w:szCs w:val="28"/>
          <w:rtl/>
        </w:rPr>
        <w:t xml:space="preserve">تقديم المعلومات والمفاهيم الصحية عن الصحة </w:t>
      </w:r>
      <w:proofErr w:type="gramStart"/>
      <w:r w:rsidRPr="00606A99">
        <w:rPr>
          <w:rFonts w:ascii="Calibri" w:eastAsia="Times New Roman" w:hAnsi="Calibri" w:cs="Calibri"/>
          <w:sz w:val="28"/>
          <w:szCs w:val="28"/>
          <w:rtl/>
        </w:rPr>
        <w:t>والمرض .</w:t>
      </w:r>
      <w:proofErr w:type="gramEnd"/>
    </w:p>
    <w:p w:rsidR="008643C7" w:rsidRPr="00606A99" w:rsidRDefault="008643C7" w:rsidP="008643C7">
      <w:pPr>
        <w:numPr>
          <w:ilvl w:val="0"/>
          <w:numId w:val="3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606A99">
        <w:rPr>
          <w:rFonts w:ascii="Calibri" w:eastAsia="Times New Roman" w:hAnsi="Calibri" w:cs="Calibri"/>
          <w:sz w:val="28"/>
          <w:szCs w:val="28"/>
          <w:rtl/>
        </w:rPr>
        <w:t xml:space="preserve">إكساب المهارات اللازمة للوصول إلى أفضل المستويات </w:t>
      </w:r>
      <w:proofErr w:type="gramStart"/>
      <w:r w:rsidRPr="00606A99">
        <w:rPr>
          <w:rFonts w:ascii="Calibri" w:eastAsia="Times New Roman" w:hAnsi="Calibri" w:cs="Calibri"/>
          <w:sz w:val="28"/>
          <w:szCs w:val="28"/>
          <w:rtl/>
        </w:rPr>
        <w:t>الصحية .</w:t>
      </w:r>
      <w:proofErr w:type="gramEnd"/>
    </w:p>
    <w:p w:rsidR="008643C7" w:rsidRPr="00606A99" w:rsidRDefault="008643C7" w:rsidP="008643C7">
      <w:pPr>
        <w:bidi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bidi="ar-LY"/>
        </w:rPr>
      </w:pPr>
    </w:p>
    <w:p w:rsidR="00C25984" w:rsidRPr="00606A99" w:rsidRDefault="00B2560E" w:rsidP="008643C7">
      <w:p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C25984" w:rsidRPr="00606A99" w:rsidRDefault="00B2560E" w:rsidP="008643C7">
      <w:p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212B25" w:rsidRPr="00606A99" w:rsidRDefault="00212B25" w:rsidP="008643C7">
      <w:p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C25984" w:rsidRPr="00606A99" w:rsidRDefault="00B2560E" w:rsidP="008643C7">
      <w:p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:rsidR="008643C7" w:rsidRPr="00606A99" w:rsidRDefault="008643C7" w:rsidP="00606A99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606A99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10207" w:type="dxa"/>
        <w:tblInd w:w="-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134"/>
        <w:gridCol w:w="993"/>
      </w:tblGrid>
      <w:tr w:rsidR="00282D80" w:rsidRPr="00606A99" w:rsidTr="00282D80">
        <w:trPr>
          <w:trHeight w:hRule="exact" w:val="704"/>
        </w:trPr>
        <w:tc>
          <w:tcPr>
            <w:tcW w:w="8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2D80" w:rsidRPr="00606A99" w:rsidRDefault="00282D80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282D80" w:rsidRPr="00606A99" w:rsidRDefault="00282D80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2D80" w:rsidRPr="00606A99" w:rsidRDefault="00282D80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2D80" w:rsidRPr="00606A99" w:rsidRDefault="00282D80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282D80" w:rsidRPr="00606A99" w:rsidRDefault="00282D80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محاضرة</w:t>
            </w:r>
          </w:p>
        </w:tc>
      </w:tr>
      <w:tr w:rsidR="00282D80" w:rsidRPr="00606A99" w:rsidTr="00282D80">
        <w:trPr>
          <w:trHeight w:hRule="exact" w:val="970"/>
        </w:trPr>
        <w:tc>
          <w:tcPr>
            <w:tcW w:w="8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bidi w:val="0"/>
              <w:spacing w:after="0" w:line="360" w:lineRule="auto"/>
              <w:ind w:left="360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تعريف </w:t>
            </w:r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الصحة ،</w:t>
            </w:r>
            <w:proofErr w:type="gram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درجات الصحة ،  محددات الصحة والمرض بين الطبقات الاجتماعية، العوامل المتعلقة بالمسببات النوعية.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</w:tr>
      <w:tr w:rsidR="00282D80" w:rsidRPr="00606A99" w:rsidTr="00282D80">
        <w:trPr>
          <w:trHeight w:hRule="exact" w:val="1105"/>
        </w:trPr>
        <w:tc>
          <w:tcPr>
            <w:tcW w:w="8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السلامة والكفاية البدنية والعقلية والنفسية </w:t>
            </w:r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والاجتماعية،  مكونات</w:t>
            </w:r>
            <w:proofErr w:type="gram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الصحة العامة، الدعائم التي تقوم عليها الصحة، مقاييس الصحة: أهمية مقاييس الصحة، أنواع مقاييس الصحة.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282D80" w:rsidRPr="00606A99" w:rsidTr="00282D80">
        <w:trPr>
          <w:trHeight w:hRule="exact" w:val="853"/>
        </w:trPr>
        <w:tc>
          <w:tcPr>
            <w:tcW w:w="8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المرض :</w:t>
            </w:r>
            <w:proofErr w:type="gram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تعريفه ، التاريخ الطبيعي للمرض ، تصنيف الأمراض . مستويات الوقاية من الامراض.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282D80" w:rsidRPr="00606A99" w:rsidTr="00282D80">
        <w:trPr>
          <w:trHeight w:hRule="exact" w:val="695"/>
        </w:trPr>
        <w:tc>
          <w:tcPr>
            <w:tcW w:w="8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البرنامج الموسع </w:t>
            </w:r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للتطعيمات :</w:t>
            </w:r>
            <w:proofErr w:type="gram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بعض التعاريف الهامة : وباء ، فاشية ، جائحة ، مرض متوطن ، حالات الفردية.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282D80" w:rsidRPr="00606A99" w:rsidTr="00282D80">
        <w:trPr>
          <w:trHeight w:hRule="exact" w:val="820"/>
        </w:trPr>
        <w:tc>
          <w:tcPr>
            <w:tcW w:w="8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طب </w:t>
            </w:r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المسنين ،</w:t>
            </w:r>
            <w:proofErr w:type="gram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أهم الأمراض الشائعة في المسنين ، فريق رعاية المسنين ، أنواع الرعاية الصحية.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282D80" w:rsidRPr="00606A99" w:rsidTr="00282D80">
        <w:trPr>
          <w:trHeight w:hRule="exact" w:val="446"/>
        </w:trPr>
        <w:tc>
          <w:tcPr>
            <w:tcW w:w="8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مقاومة الجسم الطبيعية والمناعة المكتسبة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282D80" w:rsidRPr="00606A99" w:rsidTr="00282D80">
        <w:trPr>
          <w:trHeight w:hRule="exact" w:val="411"/>
        </w:trPr>
        <w:tc>
          <w:tcPr>
            <w:tcW w:w="8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عوامل السن وعلاقتها بالمرض: فئات السن وعلاقتها بمعدل حدوث </w:t>
            </w:r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المرض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282D80" w:rsidRPr="00606A99" w:rsidTr="00282D80">
        <w:trPr>
          <w:trHeight w:hRule="exact" w:val="431"/>
        </w:trPr>
        <w:tc>
          <w:tcPr>
            <w:tcW w:w="8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الرضاعة الطبيعية: </w:t>
            </w:r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مزاياها,</w:t>
            </w:r>
            <w:proofErr w:type="gram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أضرار الرضاعة الصناعية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282D80" w:rsidRPr="00606A99" w:rsidTr="00282D80">
        <w:trPr>
          <w:trHeight w:hRule="exact" w:val="422"/>
        </w:trPr>
        <w:tc>
          <w:tcPr>
            <w:tcW w:w="8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مصادر </w:t>
            </w:r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الماء,</w:t>
            </w:r>
            <w:proofErr w:type="gram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خصائص الأوبئة التي تنتشر بواسطتها.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282D80" w:rsidRPr="00606A99" w:rsidTr="00282D80">
        <w:trPr>
          <w:trHeight w:hRule="exact" w:val="711"/>
        </w:trPr>
        <w:tc>
          <w:tcPr>
            <w:tcW w:w="8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التحري وأنواعه</w:t>
            </w:r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,</w:t>
            </w:r>
            <w:proofErr w:type="gram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اختباراته ، الفرق بين اختبارات التحري و الاختبارات التشخيصية ، أهدافه.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282D80" w:rsidRPr="00606A99" w:rsidTr="00D73ECA">
        <w:trPr>
          <w:trHeight w:hRule="exact" w:val="566"/>
        </w:trPr>
        <w:tc>
          <w:tcPr>
            <w:tcW w:w="8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الترصد الوبائي: الهدف </w:t>
            </w:r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منه ،</w:t>
            </w:r>
            <w:proofErr w:type="gram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استخدامات الترصد معايير اختيار الامراض للترصد.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  <w:tr w:rsidR="00282D80" w:rsidRPr="00606A99" w:rsidTr="00D73ECA">
        <w:trPr>
          <w:trHeight w:hRule="exact" w:val="1127"/>
        </w:trPr>
        <w:tc>
          <w:tcPr>
            <w:tcW w:w="8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bidi w:val="0"/>
              <w:spacing w:line="240" w:lineRule="auto"/>
              <w:ind w:left="720"/>
              <w:contextualSpacing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مؤشرات الطوارئ في حالات الاوبئة وكيفية توقف الوباء</w:t>
            </w:r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,</w:t>
            </w:r>
            <w:proofErr w:type="gram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خطوات استقصاء الوباء, كيف يصل التلوث الى الطعام, اهم الأمراض التي تنتقل عن طريق الطعام والتي تنتقل عن طريق الحشرات                       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80" w:rsidRPr="00606A99" w:rsidRDefault="00282D80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</w:tr>
    </w:tbl>
    <w:p w:rsidR="008643C7" w:rsidRPr="00606A99" w:rsidRDefault="008643C7" w:rsidP="008643C7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8643C7" w:rsidRPr="00606A99" w:rsidRDefault="008643C7" w:rsidP="008643C7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8643C7" w:rsidRPr="00606A99" w:rsidRDefault="008643C7" w:rsidP="00606A99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606A99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8643C7" w:rsidRPr="00606A99" w:rsidRDefault="008643C7" w:rsidP="008643C7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606A99">
        <w:rPr>
          <w:rFonts w:ascii="Calibri" w:eastAsia="Times New Roman" w:hAnsi="Calibri" w:cs="Calibri"/>
          <w:sz w:val="28"/>
          <w:szCs w:val="28"/>
          <w:rtl/>
        </w:rPr>
        <w:t>(السبورة</w:t>
      </w:r>
      <w:proofErr w:type="gramStart"/>
      <w:r w:rsidRPr="00606A99">
        <w:rPr>
          <w:rFonts w:ascii="Calibri" w:eastAsia="Times New Roman" w:hAnsi="Calibri" w:cs="Calibri"/>
          <w:sz w:val="28"/>
          <w:szCs w:val="28"/>
          <w:rtl/>
        </w:rPr>
        <w:t>),</w:t>
      </w:r>
      <w:proofErr w:type="gramEnd"/>
      <w:r w:rsidRPr="00606A99">
        <w:rPr>
          <w:rFonts w:ascii="Calibri" w:eastAsia="Times New Roman" w:hAnsi="Calibri" w:cs="Calibri"/>
          <w:sz w:val="28"/>
          <w:szCs w:val="28"/>
          <w:rtl/>
        </w:rPr>
        <w:t xml:space="preserve"> يتم استخدام الشرح على السبورة باستخدام الأقلام المائية.</w:t>
      </w:r>
    </w:p>
    <w:p w:rsidR="008643C7" w:rsidRPr="00606A99" w:rsidRDefault="008643C7" w:rsidP="008643C7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606A99">
        <w:rPr>
          <w:rFonts w:ascii="Calibri" w:eastAsia="Times New Roman" w:hAnsi="Calibri" w:cs="Calibri"/>
          <w:sz w:val="28"/>
          <w:szCs w:val="28"/>
          <w:rtl/>
        </w:rPr>
        <w:t>زيارات ميدانية.</w:t>
      </w:r>
    </w:p>
    <w:p w:rsidR="008643C7" w:rsidRPr="00606A99" w:rsidRDefault="008643C7" w:rsidP="008643C7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606A99">
        <w:rPr>
          <w:rFonts w:ascii="Calibri" w:eastAsia="Times New Roman" w:hAnsi="Calibri" w:cs="Calibri"/>
          <w:sz w:val="28"/>
          <w:szCs w:val="28"/>
          <w:rtl/>
        </w:rPr>
        <w:t>إعداد التقارير.</w:t>
      </w:r>
    </w:p>
    <w:p w:rsidR="00D73ECA" w:rsidRDefault="00D73ECA" w:rsidP="00606A99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:rsidR="008643C7" w:rsidRPr="00606A99" w:rsidRDefault="008643C7" w:rsidP="00606A99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606A99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طرق التقييم</w:t>
      </w:r>
    </w:p>
    <w:tbl>
      <w:tblPr>
        <w:bidiVisual/>
        <w:tblW w:w="82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198"/>
        <w:gridCol w:w="2997"/>
        <w:gridCol w:w="1439"/>
      </w:tblGrid>
      <w:tr w:rsidR="008643C7" w:rsidRPr="00606A99" w:rsidTr="00606A99">
        <w:trPr>
          <w:trHeight w:val="467"/>
          <w:jc w:val="center"/>
        </w:trPr>
        <w:tc>
          <w:tcPr>
            <w:tcW w:w="63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31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</w:tr>
      <w:tr w:rsidR="008643C7" w:rsidRPr="00606A99" w:rsidTr="00606A99">
        <w:trPr>
          <w:trHeight w:val="530"/>
          <w:jc w:val="center"/>
        </w:trPr>
        <w:tc>
          <w:tcPr>
            <w:tcW w:w="6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الامتحان النصفي الاول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المحاضرة الخامسة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15%</w:t>
            </w:r>
          </w:p>
        </w:tc>
      </w:tr>
      <w:tr w:rsidR="008643C7" w:rsidRPr="00606A99" w:rsidTr="00606A99">
        <w:trPr>
          <w:trHeight w:val="558"/>
          <w:jc w:val="center"/>
        </w:trPr>
        <w:tc>
          <w:tcPr>
            <w:tcW w:w="6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الامتحان النصفي الثاني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المحاضرة العاشرة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15%</w:t>
            </w:r>
          </w:p>
        </w:tc>
      </w:tr>
      <w:tr w:rsidR="008643C7" w:rsidRPr="00606A99" w:rsidTr="00606A99">
        <w:trPr>
          <w:trHeight w:val="530"/>
          <w:jc w:val="center"/>
        </w:trPr>
        <w:tc>
          <w:tcPr>
            <w:tcW w:w="6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عرض ومناقشة الورقات العلمية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المحاضرة السابعة والثالثة عشر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</w:rPr>
              <w:t>10%</w:t>
            </w:r>
          </w:p>
        </w:tc>
      </w:tr>
      <w:tr w:rsidR="008643C7" w:rsidRPr="00606A99" w:rsidTr="00606A99">
        <w:trPr>
          <w:trHeight w:val="530"/>
          <w:jc w:val="center"/>
        </w:trPr>
        <w:tc>
          <w:tcPr>
            <w:tcW w:w="6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الامتحان النهائي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60%</w:t>
            </w:r>
          </w:p>
        </w:tc>
      </w:tr>
      <w:tr w:rsidR="008643C7" w:rsidRPr="00606A99" w:rsidTr="004F5B7A">
        <w:trPr>
          <w:trHeight w:val="350"/>
          <w:jc w:val="center"/>
        </w:trPr>
        <w:tc>
          <w:tcPr>
            <w:tcW w:w="382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fr-FR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</w:rPr>
              <w:t>100</w:t>
            </w: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val="fr-FR"/>
              </w:rPr>
              <w:t xml:space="preserve"> %</w:t>
            </w:r>
          </w:p>
        </w:tc>
      </w:tr>
    </w:tbl>
    <w:p w:rsidR="002C6D68" w:rsidRDefault="002C6D68" w:rsidP="00606A99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:rsidR="008643C7" w:rsidRPr="00606A99" w:rsidRDefault="008643C7" w:rsidP="00606A99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606A99">
        <w:rPr>
          <w:rFonts w:ascii="Calibri" w:eastAsia="Times New Roman" w:hAnsi="Calibri" w:cs="Calibri"/>
          <w:b/>
          <w:bCs/>
          <w:sz w:val="32"/>
          <w:szCs w:val="32"/>
          <w:rtl/>
        </w:rPr>
        <w:t>المراجع والدوريات</w:t>
      </w:r>
    </w:p>
    <w:tbl>
      <w:tblPr>
        <w:bidiVisual/>
        <w:tblW w:w="9623" w:type="dxa"/>
        <w:tblInd w:w="-23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311"/>
        <w:gridCol w:w="1436"/>
        <w:gridCol w:w="1619"/>
        <w:gridCol w:w="2698"/>
      </w:tblGrid>
      <w:tr w:rsidR="008643C7" w:rsidRPr="00606A99" w:rsidTr="0097452A">
        <w:trPr>
          <w:cantSplit/>
          <w:trHeight w:hRule="exact" w:val="834"/>
        </w:trPr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23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الناشر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النسخة</w:t>
            </w:r>
          </w:p>
        </w:tc>
        <w:tc>
          <w:tcPr>
            <w:tcW w:w="16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26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مكان تواجدها</w:t>
            </w:r>
          </w:p>
        </w:tc>
      </w:tr>
      <w:tr w:rsidR="008643C7" w:rsidRPr="00606A99" w:rsidTr="0097452A">
        <w:trPr>
          <w:cantSplit/>
          <w:trHeight w:hRule="exact" w:val="4620"/>
        </w:trPr>
        <w:tc>
          <w:tcPr>
            <w:tcW w:w="15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الكتب الدراسية المقررة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643C7" w:rsidRPr="00606A99" w:rsidRDefault="008643C7" w:rsidP="008643C7">
            <w:pPr>
              <w:numPr>
                <w:ilvl w:val="0"/>
                <w:numId w:val="5"/>
              </w:numPr>
              <w:spacing w:after="0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تمريض صحة </w:t>
            </w:r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المجتمع :</w:t>
            </w:r>
            <w:proofErr w:type="gram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إعداد نخبة من أساتذة الجامعات في العالم العربي ،المكتب الإقليمي لمنظمة الصحة العالمية لشرق المتوسط ، (2004).</w:t>
            </w:r>
          </w:p>
          <w:p w:rsidR="008643C7" w:rsidRPr="00606A99" w:rsidRDefault="008643C7" w:rsidP="008643C7">
            <w:pPr>
              <w:numPr>
                <w:ilvl w:val="0"/>
                <w:numId w:val="5"/>
              </w:numPr>
              <w:spacing w:after="0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من أجل حياة </w:t>
            </w:r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صحية :</w:t>
            </w:r>
            <w:proofErr w:type="gram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أ. د. محمد هاني و أ. د . سلمى </w:t>
            </w:r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دوارة ،</w:t>
            </w:r>
            <w:proofErr w:type="gram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كلية الطب جامعة القاهرة (2009) .</w:t>
            </w:r>
          </w:p>
          <w:p w:rsidR="008643C7" w:rsidRPr="00606A99" w:rsidRDefault="008643C7" w:rsidP="008643C7">
            <w:pPr>
              <w:numPr>
                <w:ilvl w:val="0"/>
                <w:numId w:val="5"/>
              </w:numPr>
              <w:spacing w:after="0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السلوك و </w:t>
            </w:r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الصحة :</w:t>
            </w:r>
            <w:proofErr w:type="gram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أ . د مأمون مبيض (2004).</w:t>
            </w:r>
          </w:p>
          <w:p w:rsidR="008643C7" w:rsidRPr="00606A99" w:rsidRDefault="008643C7" w:rsidP="008643C7">
            <w:pPr>
              <w:numPr>
                <w:ilvl w:val="0"/>
                <w:numId w:val="5"/>
              </w:numPr>
              <w:spacing w:after="0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فقه </w:t>
            </w:r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الصحة :</w:t>
            </w:r>
            <w:proofErr w:type="gram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أ. د محمد هيثم ، المكتب الإقليمي لمنظمة الصحة العالمية لشرق المتوسط ، (2006). </w:t>
            </w:r>
          </w:p>
          <w:p w:rsidR="008643C7" w:rsidRPr="00606A99" w:rsidRDefault="008643C7" w:rsidP="008643C7">
            <w:pPr>
              <w:numPr>
                <w:ilvl w:val="0"/>
                <w:numId w:val="5"/>
              </w:numPr>
              <w:spacing w:after="0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proofErr w:type="spellStart"/>
            <w:proofErr w:type="gram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جعفر,</w:t>
            </w:r>
            <w:proofErr w:type="gram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حسان</w:t>
            </w:r>
            <w:proofErr w:type="spell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؛جعفر، غسان-  (1998)- الامراض المعدية- </w:t>
            </w:r>
            <w:proofErr w:type="spellStart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الطبعةالأولى</w:t>
            </w:r>
            <w:proofErr w:type="spellEnd"/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 دار المناهل.</w:t>
            </w:r>
          </w:p>
          <w:p w:rsidR="008643C7" w:rsidRPr="00606A99" w:rsidRDefault="008643C7" w:rsidP="008643C7">
            <w:pPr>
              <w:numPr>
                <w:ilvl w:val="0"/>
                <w:numId w:val="6"/>
              </w:numPr>
              <w:spacing w:after="0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fldChar w:fldCharType="begin"/>
            </w:r>
            <w:r w:rsidRPr="00606A99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instrText>BIBLIOGRAPHY</w:instrText>
            </w: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instrText xml:space="preserve">  \</w:instrText>
            </w:r>
            <w:r w:rsidRPr="00606A99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instrText>l 1025</w:instrText>
            </w: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fldChar w:fldCharType="separate"/>
            </w: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منظمة الصحة العالمية- (2011)-  ورقة موقف منظمة الصحة العالمية بشان اللقحات المضادة للمكورات السحائية-جنيف: .</w:t>
            </w:r>
          </w:p>
          <w:p w:rsidR="008643C7" w:rsidRPr="00606A99" w:rsidRDefault="008643C7" w:rsidP="004F5B7A">
            <w:pPr>
              <w:spacing w:after="0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fldChar w:fldCharType="end"/>
            </w:r>
          </w:p>
        </w:tc>
      </w:tr>
      <w:tr w:rsidR="008643C7" w:rsidRPr="00606A99" w:rsidTr="0097452A">
        <w:trPr>
          <w:cantSplit/>
          <w:trHeight w:hRule="exact" w:val="2114"/>
        </w:trPr>
        <w:tc>
          <w:tcPr>
            <w:tcW w:w="15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كتب مساعدة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643C7" w:rsidRPr="00606A99" w:rsidRDefault="008643C7" w:rsidP="004F5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8643C7" w:rsidRPr="00606A99" w:rsidRDefault="0097452A" w:rsidP="0097452A">
            <w:pPr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  <w:lang w:bidi="ar-LY"/>
              </w:rPr>
              <w:t xml:space="preserve">1. </w:t>
            </w:r>
            <w:r w:rsidR="008643C7"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سليم، د. مريم داود (2006): الأدوار النفسية والتربوية للأسرة والمدرسة والاساءة إلي </w:t>
            </w:r>
            <w:proofErr w:type="gramStart"/>
            <w:r w:rsidR="008643C7"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الطفل- مجلة</w:t>
            </w:r>
            <w:proofErr w:type="gramEnd"/>
            <w:r w:rsidR="008643C7"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التربوية.</w:t>
            </w:r>
          </w:p>
          <w:p w:rsidR="008643C7" w:rsidRPr="00606A99" w:rsidRDefault="0097452A" w:rsidP="0097452A">
            <w:pPr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  <w:lang w:bidi="ar-LY"/>
              </w:rPr>
              <w:t xml:space="preserve">. </w:t>
            </w:r>
            <w:r w:rsidR="008643C7"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شجاع الدين، د. نهلة (2009): الكامل دليل الطب النفسي وطب نفس الاطفال للأطباء العاملين في الرعاية الصحية الاولية. الطبعة </w:t>
            </w:r>
            <w:proofErr w:type="gramStart"/>
            <w:r w:rsidR="008643C7"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الاولي- دار</w:t>
            </w:r>
            <w:proofErr w:type="gramEnd"/>
            <w:r w:rsidR="008643C7" w:rsidRPr="00606A99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الصندوق الاجتماعي للتنمية.</w:t>
            </w:r>
            <w:r w:rsidR="008643C7" w:rsidRPr="00606A99">
              <w:rPr>
                <w:rFonts w:ascii="Calibri" w:eastAsia="Calibri" w:hAnsi="Calibri" w:cs="Calibri"/>
                <w:sz w:val="28"/>
                <w:szCs w:val="28"/>
                <w:highlight w:val="lightGray"/>
                <w:rtl/>
                <w:lang w:val="en-IN"/>
              </w:rPr>
              <w:t xml:space="preserve"> </w:t>
            </w:r>
          </w:p>
        </w:tc>
      </w:tr>
      <w:tr w:rsidR="008643C7" w:rsidRPr="00606A99" w:rsidTr="0097452A">
        <w:trPr>
          <w:cantSplit/>
          <w:trHeight w:hRule="exact" w:val="2559"/>
        </w:trPr>
        <w:tc>
          <w:tcPr>
            <w:tcW w:w="155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43C7" w:rsidRPr="00606A99" w:rsidRDefault="008643C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06A9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lastRenderedPageBreak/>
              <w:t>مواقع انترنت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8643C7" w:rsidRPr="00606A99" w:rsidRDefault="008643C7" w:rsidP="008643C7">
            <w:pPr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WWW. </w:t>
            </w:r>
            <w:proofErr w:type="spellStart"/>
            <w:r w:rsidRPr="00606A99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Svenskanues</w:t>
            </w:r>
            <w:proofErr w:type="spellEnd"/>
            <w:r w:rsidRPr="00606A99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. Se. (</w:t>
            </w:r>
            <w:proofErr w:type="spellStart"/>
            <w:r w:rsidRPr="00606A99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sevenka</w:t>
            </w:r>
            <w:proofErr w:type="spellEnd"/>
            <w:r w:rsidRPr="00606A99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proofErr w:type="spellStart"/>
            <w:r w:rsidRPr="00606A99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enuresakdemin</w:t>
            </w:r>
            <w:proofErr w:type="spellEnd"/>
            <w:r w:rsidRPr="00606A99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).</w:t>
            </w:r>
          </w:p>
          <w:p w:rsidR="008643C7" w:rsidRPr="00606A99" w:rsidRDefault="00B2560E" w:rsidP="008643C7">
            <w:pPr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hyperlink r:id="rId7" w:history="1">
              <w:r w:rsidR="008643C7" w:rsidRPr="00606A99">
                <w:rPr>
                  <w:rFonts w:ascii="Calibri" w:eastAsia="Times New Roman" w:hAnsi="Calibri" w:cs="Calibri"/>
                  <w:sz w:val="28"/>
                  <w:szCs w:val="28"/>
                  <w:lang w:bidi="ar-LY"/>
                </w:rPr>
                <w:t>WWW.arab</w:t>
              </w:r>
            </w:hyperlink>
            <w:r w:rsidR="008643C7" w:rsidRPr="00606A99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48. Com</w:t>
            </w:r>
          </w:p>
          <w:p w:rsidR="008643C7" w:rsidRPr="00606A99" w:rsidRDefault="00B2560E" w:rsidP="008643C7">
            <w:pPr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hyperlink r:id="rId8" w:history="1">
              <w:r w:rsidR="008643C7" w:rsidRPr="00606A99">
                <w:rPr>
                  <w:rFonts w:ascii="Calibri" w:eastAsia="Times New Roman" w:hAnsi="Calibri" w:cs="Calibri"/>
                  <w:sz w:val="28"/>
                  <w:szCs w:val="28"/>
                  <w:lang w:bidi="ar-LY"/>
                </w:rPr>
                <w:t>www.webteb.com/neurology/</w:t>
              </w:r>
              <w:r w:rsidR="008643C7" w:rsidRPr="00606A99">
                <w:rPr>
                  <w:rFonts w:ascii="Calibri" w:eastAsia="Times New Roman" w:hAnsi="Calibri" w:cs="Calibri"/>
                  <w:sz w:val="28"/>
                  <w:szCs w:val="28"/>
                  <w:rtl/>
                  <w:lang w:bidi="ar-LY"/>
                </w:rPr>
                <w:t>التهاب-السحايا</w:t>
              </w:r>
            </w:hyperlink>
          </w:p>
          <w:p w:rsidR="008643C7" w:rsidRPr="00606A99" w:rsidRDefault="00B2560E" w:rsidP="008643C7">
            <w:pPr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hyperlink r:id="rId9" w:history="1">
              <w:r w:rsidR="008643C7" w:rsidRPr="00606A99">
                <w:rPr>
                  <w:rFonts w:ascii="Calibri" w:eastAsia="Times New Roman" w:hAnsi="Calibri" w:cs="Calibri"/>
                  <w:sz w:val="28"/>
                  <w:szCs w:val="28"/>
                  <w:lang w:bidi="ar-LY"/>
                </w:rPr>
                <w:t>www.Who.int/ar/news-room/fact-sheets/detail/meningococcal-meningitis</w:t>
              </w:r>
            </w:hyperlink>
            <w:r w:rsidR="008643C7" w:rsidRPr="00606A99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</w:p>
          <w:p w:rsidR="008643C7" w:rsidRPr="00606A99" w:rsidRDefault="008643C7" w:rsidP="008643C7">
            <w:pPr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606A99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www.enabbaladi.net/archives/175</w:t>
            </w:r>
          </w:p>
          <w:p w:rsidR="008643C7" w:rsidRPr="00606A99" w:rsidRDefault="008643C7" w:rsidP="004F5B7A">
            <w:pPr>
              <w:bidi w:val="0"/>
              <w:spacing w:after="0" w:line="240" w:lineRule="auto"/>
              <w:ind w:left="360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</w:p>
          <w:p w:rsidR="008643C7" w:rsidRPr="00606A99" w:rsidRDefault="008643C7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</w:p>
        </w:tc>
      </w:tr>
    </w:tbl>
    <w:p w:rsidR="008643C7" w:rsidRPr="00606A99" w:rsidRDefault="008643C7" w:rsidP="008643C7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B2560E" w:rsidRDefault="00B2560E" w:rsidP="00606A99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B2560E" w:rsidRDefault="00B2560E" w:rsidP="00606A99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B2560E" w:rsidRDefault="00B2560E" w:rsidP="00606A99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B2560E" w:rsidRDefault="00B2560E" w:rsidP="00606A99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B2560E" w:rsidRDefault="00B2560E" w:rsidP="00606A99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B2560E" w:rsidRDefault="00B2560E" w:rsidP="00606A99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bookmarkStart w:id="0" w:name="_GoBack"/>
      <w:bookmarkEnd w:id="0"/>
    </w:p>
    <w:p w:rsidR="008643C7" w:rsidRPr="00B2560E" w:rsidRDefault="008643C7" w:rsidP="00606A99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B2560E">
        <w:rPr>
          <w:rFonts w:ascii="Calibri" w:hAnsi="Calibri" w:cs="Calibri"/>
          <w:b/>
          <w:bCs/>
          <w:sz w:val="28"/>
          <w:szCs w:val="28"/>
          <w:rtl/>
        </w:rPr>
        <w:t>رئيس القسم: أ. العارف محمد أحمد عربي.</w:t>
      </w:r>
    </w:p>
    <w:p w:rsidR="008643C7" w:rsidRPr="00B2560E" w:rsidRDefault="008643C7" w:rsidP="00606A99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B2560E">
        <w:rPr>
          <w:rFonts w:ascii="Calibri" w:hAnsi="Calibri" w:cs="Calibri"/>
          <w:b/>
          <w:bCs/>
          <w:sz w:val="28"/>
          <w:szCs w:val="28"/>
          <w:rtl/>
        </w:rPr>
        <w:t xml:space="preserve">منسق البرنامج: أ. إيمان حسين محمد علي </w:t>
      </w:r>
      <w:proofErr w:type="spellStart"/>
      <w:r w:rsidRPr="00B2560E">
        <w:rPr>
          <w:rFonts w:ascii="Calibri" w:hAnsi="Calibri" w:cs="Calibri"/>
          <w:b/>
          <w:bCs/>
          <w:sz w:val="28"/>
          <w:szCs w:val="28"/>
          <w:rtl/>
        </w:rPr>
        <w:t>باوه</w:t>
      </w:r>
      <w:proofErr w:type="spellEnd"/>
      <w:r w:rsidRPr="00B2560E">
        <w:rPr>
          <w:rFonts w:ascii="Calibri" w:hAnsi="Calibri" w:cs="Calibri"/>
          <w:b/>
          <w:bCs/>
          <w:sz w:val="28"/>
          <w:szCs w:val="28"/>
          <w:rtl/>
        </w:rPr>
        <w:t>.</w:t>
      </w:r>
    </w:p>
    <w:p w:rsidR="000409CC" w:rsidRPr="00B2560E" w:rsidRDefault="008643C7" w:rsidP="00606A9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2560E">
        <w:rPr>
          <w:rFonts w:ascii="Calibri" w:hAnsi="Calibri" w:cs="Calibri"/>
          <w:b/>
          <w:bCs/>
          <w:sz w:val="28"/>
          <w:szCs w:val="28"/>
          <w:rtl/>
        </w:rPr>
        <w:t xml:space="preserve">رئيس قسم الجودة وتقييم الأداء بالكلية: أ. خديجة </w:t>
      </w:r>
      <w:proofErr w:type="gramStart"/>
      <w:r w:rsidRPr="00B2560E">
        <w:rPr>
          <w:rFonts w:ascii="Calibri" w:hAnsi="Calibri" w:cs="Calibri"/>
          <w:b/>
          <w:bCs/>
          <w:sz w:val="28"/>
          <w:szCs w:val="28"/>
          <w:rtl/>
        </w:rPr>
        <w:t>عبدالسلام</w:t>
      </w:r>
      <w:proofErr w:type="gramEnd"/>
      <w:r w:rsidRPr="00B2560E">
        <w:rPr>
          <w:rFonts w:ascii="Calibri" w:hAnsi="Calibri" w:cs="Calibri"/>
          <w:b/>
          <w:bCs/>
          <w:sz w:val="28"/>
          <w:szCs w:val="28"/>
          <w:rtl/>
        </w:rPr>
        <w:t xml:space="preserve"> سعد.</w:t>
      </w:r>
    </w:p>
    <w:sectPr w:rsidR="000409CC" w:rsidRPr="00B2560E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46DC4"/>
    <w:multiLevelType w:val="hybridMultilevel"/>
    <w:tmpl w:val="85964312"/>
    <w:lvl w:ilvl="0" w:tplc="E5F209E2">
      <w:start w:val="6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64A0A"/>
    <w:multiLevelType w:val="hybridMultilevel"/>
    <w:tmpl w:val="8DC67A00"/>
    <w:lvl w:ilvl="0" w:tplc="137277D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D3335"/>
    <w:multiLevelType w:val="hybridMultilevel"/>
    <w:tmpl w:val="EB42F43E"/>
    <w:lvl w:ilvl="0" w:tplc="9E464E22">
      <w:start w:val="1"/>
      <w:numFmt w:val="decimal"/>
      <w:lvlText w:val="%1-"/>
      <w:lvlJc w:val="left"/>
      <w:pPr>
        <w:ind w:left="1440" w:hanging="360"/>
      </w:pPr>
      <w:rPr>
        <w:rFonts w:ascii="Calibri" w:eastAsia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A02FC"/>
    <w:multiLevelType w:val="hybridMultilevel"/>
    <w:tmpl w:val="F10CDD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52176"/>
    <w:multiLevelType w:val="hybridMultilevel"/>
    <w:tmpl w:val="CE7620C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341B1"/>
    <w:multiLevelType w:val="hybridMultilevel"/>
    <w:tmpl w:val="C2D85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C7"/>
    <w:rsid w:val="000409CC"/>
    <w:rsid w:val="00145033"/>
    <w:rsid w:val="00212B25"/>
    <w:rsid w:val="00282D80"/>
    <w:rsid w:val="002C6D68"/>
    <w:rsid w:val="004D51C8"/>
    <w:rsid w:val="00606A99"/>
    <w:rsid w:val="00670D90"/>
    <w:rsid w:val="00677D20"/>
    <w:rsid w:val="008643C7"/>
    <w:rsid w:val="008D1B2C"/>
    <w:rsid w:val="0097452A"/>
    <w:rsid w:val="009A5082"/>
    <w:rsid w:val="00B2560E"/>
    <w:rsid w:val="00D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4E0F47-8E66-49C2-9886-3D16B012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teb.com/neurology/&#1575;&#1604;&#1578;&#1607;&#1575;&#1576;-&#1575;&#1604;&#1587;&#1581;&#1575;&#1610;&#1575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r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ho.int/ar/news-room/fact-sheets/detail/meningococcal-meningitis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AEA4E-38D9-45FE-B8FD-0A2FE7E4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11</cp:revision>
  <cp:lastPrinted>2022-06-09T08:18:00Z</cp:lastPrinted>
  <dcterms:created xsi:type="dcterms:W3CDTF">2022-06-06T04:24:00Z</dcterms:created>
  <dcterms:modified xsi:type="dcterms:W3CDTF">2022-06-09T08:18:00Z</dcterms:modified>
</cp:coreProperties>
</file>