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B7" w:rsidRPr="00BB62E4" w:rsidRDefault="00BB62E4" w:rsidP="00BB62E4">
      <w:pPr>
        <w:jc w:val="center"/>
        <w:rPr>
          <w:rFonts w:ascii="Calibri" w:hAnsi="Calibri" w:cs="Calibri" w:hint="cs"/>
          <w:rtl/>
        </w:rPr>
      </w:pPr>
      <w:r w:rsidRPr="00BB62E4">
        <w:rPr>
          <w:rFonts w:ascii="Calibri" w:hAnsi="Calibri" w:cs="Calibri"/>
          <w:noProof/>
        </w:rPr>
        <w:drawing>
          <wp:inline distT="0" distB="0" distL="0" distR="0" wp14:anchorId="1F7419A2" wp14:editId="440820EF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0B7" w:rsidRPr="00534DE6" w:rsidRDefault="004960B7" w:rsidP="004960B7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534DE6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4960B7" w:rsidRPr="00BB62E4" w:rsidRDefault="004960B7" w:rsidP="0090557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34DE6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9"/>
        <w:gridCol w:w="4349"/>
      </w:tblGrid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علم الحشرات الطبية</w:t>
            </w: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   </w:t>
            </w:r>
            <w:proofErr w:type="gramStart"/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508 </w:t>
            </w: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proofErr w:type="gramEnd"/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proofErr w:type="spellStart"/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 حسن محمد صالح</w:t>
            </w:r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 ساعات (3 وحدات)</w:t>
            </w:r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 / اللغة الانجليزية</w:t>
            </w:r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الخامس</w:t>
            </w:r>
          </w:p>
        </w:tc>
      </w:tr>
      <w:tr w:rsidR="004960B7" w:rsidRPr="00BB62E4" w:rsidTr="00BB62E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0B7" w:rsidRPr="00BB62E4" w:rsidRDefault="004960B7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2011/ 2012 </w:t>
            </w:r>
            <w:proofErr w:type="gramStart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-  </w:t>
            </w:r>
            <w:proofErr w:type="gramEnd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جامعة سبها</w:t>
            </w:r>
          </w:p>
        </w:tc>
      </w:tr>
    </w:tbl>
    <w:p w:rsidR="004960B7" w:rsidRPr="00BB62E4" w:rsidRDefault="004960B7" w:rsidP="004960B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4960B7" w:rsidRPr="00BB62E4" w:rsidRDefault="004960B7" w:rsidP="00BB62E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B62E4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4960B7" w:rsidRPr="00BB62E4" w:rsidRDefault="004960B7" w:rsidP="00534DE6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BB62E4">
        <w:rPr>
          <w:rFonts w:ascii="Calibri" w:eastAsia="Times New Roman" w:hAnsi="Calibri" w:cs="Calibri"/>
          <w:sz w:val="28"/>
          <w:szCs w:val="28"/>
          <w:rtl/>
          <w:lang w:bidi="ar-LY"/>
        </w:rPr>
        <w:t>الرفع من المستوى التعليمي والفكري الابداعي لطلاب الجامعات.</w:t>
      </w:r>
    </w:p>
    <w:p w:rsidR="004960B7" w:rsidRPr="00BB62E4" w:rsidRDefault="004960B7" w:rsidP="00534DE6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BB62E4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تمكين الطلاب من الربط بين انتشار الحشرات المختلفة وبين زيادة معدل الاصابات بالأمراض الطفيلية المختلفة وبين المستوى المعيشي للأشخاص المصابين وخاصة في دول العالم الثالث. </w:t>
      </w:r>
    </w:p>
    <w:p w:rsidR="004960B7" w:rsidRPr="00BB62E4" w:rsidRDefault="004960B7" w:rsidP="00534DE6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BB62E4">
        <w:rPr>
          <w:rFonts w:ascii="Calibri" w:eastAsia="Times New Roman" w:hAnsi="Calibri" w:cs="Calibri"/>
          <w:sz w:val="28"/>
          <w:szCs w:val="28"/>
          <w:rtl/>
          <w:lang w:bidi="ar-LY"/>
        </w:rPr>
        <w:t>تعليم الطلاب من طريقة الاستفادة من المراجع والدوريات العلمية في مجال هذا العلم واستخدامها بالطرق المثلى.</w:t>
      </w:r>
    </w:p>
    <w:p w:rsidR="004960B7" w:rsidRPr="00BB62E4" w:rsidRDefault="004960B7" w:rsidP="00534DE6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BB62E4">
        <w:rPr>
          <w:rFonts w:ascii="Calibri" w:eastAsia="Times New Roman" w:hAnsi="Calibri" w:cs="Calibri"/>
          <w:sz w:val="28"/>
          <w:szCs w:val="28"/>
          <w:rtl/>
          <w:lang w:bidi="ar-LY"/>
        </w:rPr>
        <w:t>دراسة الارتباط الوثيق بين هذا العلم بين صحة وحياة الانسان من جهة وبين العلوم الاخرى كالطب والصيدلة من جهة أخرى.</w:t>
      </w:r>
    </w:p>
    <w:p w:rsidR="00C25984" w:rsidRPr="00BB62E4" w:rsidRDefault="004960B7" w:rsidP="00534DE6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BB62E4">
        <w:rPr>
          <w:rFonts w:ascii="Calibri" w:eastAsia="Times New Roman" w:hAnsi="Calibri" w:cs="Calibri"/>
          <w:sz w:val="28"/>
          <w:szCs w:val="28"/>
          <w:rtl/>
          <w:lang w:bidi="ar-LY"/>
        </w:rPr>
        <w:t>تعريف الطالب الى طرق السلامة والوقاية والحد من بالأمراض التي تنقلها الحشرات وكيفية معالجة المصابين بها وطرق مكافحتها.</w:t>
      </w:r>
    </w:p>
    <w:p w:rsidR="00534DE6" w:rsidRDefault="00534DE6" w:rsidP="00BB62E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4960B7" w:rsidRPr="00BB62E4" w:rsidRDefault="004960B7" w:rsidP="00BB62E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B62E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tblStyle w:val="1"/>
        <w:bidiVisual/>
        <w:tblW w:w="9498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88"/>
        <w:gridCol w:w="1031"/>
        <w:gridCol w:w="971"/>
        <w:gridCol w:w="757"/>
        <w:gridCol w:w="851"/>
      </w:tblGrid>
      <w:tr w:rsidR="004960B7" w:rsidRPr="00BB62E4" w:rsidTr="00BB62E4">
        <w:tc>
          <w:tcPr>
            <w:tcW w:w="5888" w:type="dxa"/>
            <w:shd w:val="clear" w:color="auto" w:fill="BFBFBF" w:themeFill="background1" w:themeFillShade="BF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757" w:type="dxa"/>
            <w:shd w:val="clear" w:color="auto" w:fill="BFBFBF" w:themeFill="background1" w:themeFillShade="BF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4960B7" w:rsidRPr="00BB62E4" w:rsidTr="00BB62E4">
        <w:tc>
          <w:tcPr>
            <w:tcW w:w="5888" w:type="dxa"/>
          </w:tcPr>
          <w:p w:rsidR="004960B7" w:rsidRPr="00BB62E4" w:rsidRDefault="004960B7" w:rsidP="00534DE6">
            <w:pPr>
              <w:ind w:left="34" w:hanging="34"/>
              <w:contextualSpacing/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مقدمة عامة عن علم الحشرات الطبية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الصفات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العامة لشعبة مفصليات الأرجل - تقسيم شعبة مفصليات الأرجل.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534DE6">
        <w:tc>
          <w:tcPr>
            <w:tcW w:w="5888" w:type="dxa"/>
          </w:tcPr>
          <w:p w:rsidR="004960B7" w:rsidRPr="00BB62E4" w:rsidRDefault="004960B7" w:rsidP="00534DE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الأهمية الطبية لشعبة مفصليات الأرجل: عوامل مباشرة للمرض أو عدم الراحة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مفصليات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الأرجل كعوائل وسيطة للديدان - مفصليات الأرجل كنواقل للمسببات المرضية.</w:t>
            </w:r>
          </w:p>
        </w:tc>
        <w:tc>
          <w:tcPr>
            <w:tcW w:w="1031" w:type="dxa"/>
          </w:tcPr>
          <w:p w:rsidR="004960B7" w:rsidRPr="00BB62E4" w:rsidRDefault="004960B7" w:rsidP="00534DE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5888" w:type="dxa"/>
          </w:tcPr>
          <w:p w:rsidR="004960B7" w:rsidRPr="00BB62E4" w:rsidRDefault="004960B7" w:rsidP="004F5B7A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طرق نقل الأمراض: النقل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الميكانيكي- النقل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الحيوي - النواقل: أنواعها, فاعليتها.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5888" w:type="dxa"/>
          </w:tcPr>
          <w:p w:rsidR="004960B7" w:rsidRPr="00BB62E4" w:rsidRDefault="004960B7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طائفة الحشرات: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مميزاتها,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أسباب سيادتها. أجزاء فم الحشرات ذات الأهمية الطبية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التحول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في الحشرات وأنواعه.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534DE6">
        <w:tc>
          <w:tcPr>
            <w:tcW w:w="5888" w:type="dxa"/>
            <w:tcBorders>
              <w:bottom w:val="double" w:sz="4" w:space="0" w:color="auto"/>
            </w:tcBorders>
          </w:tcPr>
          <w:p w:rsidR="004960B7" w:rsidRPr="00BB62E4" w:rsidRDefault="004960B7" w:rsidP="00534DE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تصنيف طائفة الحشرات: أولا: رتبة ثنائية الأجنحة. البعوض: صفات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البعوض,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دورة الحياة.  </w:t>
            </w: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>أجزاء الفم في إناث البعوض: (ثاقبة ماصة)</w:t>
            </w: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 w:bidi="ar-LY"/>
              </w:rPr>
              <w:t>.</w:t>
            </w:r>
          </w:p>
        </w:tc>
        <w:tc>
          <w:tcPr>
            <w:tcW w:w="1031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9498" w:type="dxa"/>
            <w:gridSpan w:val="5"/>
            <w:shd w:val="pct20" w:color="auto" w:fill="auto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النصفي الأول</w:t>
            </w:r>
          </w:p>
        </w:tc>
      </w:tr>
      <w:tr w:rsidR="004960B7" w:rsidRPr="00BB62E4" w:rsidTr="00534DE6">
        <w:tc>
          <w:tcPr>
            <w:tcW w:w="5888" w:type="dxa"/>
          </w:tcPr>
          <w:p w:rsidR="004960B7" w:rsidRPr="00BB62E4" w:rsidRDefault="004960B7" w:rsidP="00534DE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>الأهمية الطبية للبعوض.  ملاريا الانسان</w:t>
            </w: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: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المسببات,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النواقل وطرق العدوى, دورة حياة البعوضة والطفيل, انتكاس الملاريا.  داء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الفيلاريا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(داء الفيل): </w:t>
            </w: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 xml:space="preserve">الفخرية </w:t>
            </w:r>
            <w:proofErr w:type="spellStart"/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>البنكروفتية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>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>البروجيا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bidi="ar-LY"/>
              </w:rPr>
              <w:t>ملالاية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 w:bidi="ar-LY"/>
              </w:rPr>
              <w:t xml:space="preserve">: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 w:bidi="ar-LY"/>
              </w:rPr>
              <w:t>البروجيا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 w:bidi="ar-LY"/>
              </w:rPr>
              <w:t xml:space="preserve"> التيمورية.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5888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الحمى الصفراء: أنواعها.   حمى الدنج.  مكافحة البعوض.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534DE6">
        <w:tc>
          <w:tcPr>
            <w:tcW w:w="5888" w:type="dxa"/>
          </w:tcPr>
          <w:p w:rsidR="004960B7" w:rsidRPr="00BB62E4" w:rsidRDefault="004960B7" w:rsidP="00534DE6">
            <w:p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الذباب الأسود: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الصفات,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 السلوك, الأهمية الطبية للذباب الأسود, طرق المكافحة.</w:t>
            </w:r>
          </w:p>
          <w:p w:rsidR="004960B7" w:rsidRPr="00BB62E4" w:rsidRDefault="004960B7" w:rsidP="00534DE6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ذباب الرمل: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الصفات,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 السلوك, الأهمية الطبية للذباب الأسود, طرق المكافحة.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534DE6">
        <w:tc>
          <w:tcPr>
            <w:tcW w:w="5888" w:type="dxa"/>
          </w:tcPr>
          <w:p w:rsidR="004960B7" w:rsidRPr="00BB62E4" w:rsidRDefault="004960B7" w:rsidP="00534DE6">
            <w:pPr>
              <w:ind w:firstLine="34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الهاموش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: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الهاموش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الواخز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الهاموش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غير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الواخز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, ذباب الخيل + ذباب الاسطبل</w:t>
            </w:r>
          </w:p>
          <w:p w:rsidR="004960B7" w:rsidRPr="00BB62E4" w:rsidRDefault="004960B7" w:rsidP="00534DE6">
            <w:pPr>
              <w:tabs>
                <w:tab w:val="left" w:pos="618"/>
              </w:tabs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(الصفات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العامة,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تركيب أجزاء الفم, دورة الحياة, العادات والتغذية, الأهمية الطبية, المكافحة).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534DE6">
        <w:tc>
          <w:tcPr>
            <w:tcW w:w="5888" w:type="dxa"/>
            <w:tcBorders>
              <w:bottom w:val="double" w:sz="4" w:space="0" w:color="auto"/>
            </w:tcBorders>
          </w:tcPr>
          <w:p w:rsidR="004960B7" w:rsidRPr="00BB62E4" w:rsidRDefault="004960B7" w:rsidP="00534DE6">
            <w:pPr>
              <w:ind w:left="34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الذبابة المنزلية + ذباب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التسي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تسي</w:t>
            </w:r>
          </w:p>
          <w:p w:rsidR="004960B7" w:rsidRPr="00BB62E4" w:rsidRDefault="004960B7" w:rsidP="00534DE6">
            <w:pPr>
              <w:ind w:left="34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(الصفات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العامة,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تركيب أجزاء الفم, دورة الحياة, العادات والتغذية, الأهمية الطبية, المكافحة).</w:t>
            </w:r>
          </w:p>
        </w:tc>
        <w:tc>
          <w:tcPr>
            <w:tcW w:w="1031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9498" w:type="dxa"/>
            <w:gridSpan w:val="5"/>
            <w:shd w:val="pct20" w:color="auto" w:fill="auto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النصفي الثاني</w:t>
            </w:r>
          </w:p>
        </w:tc>
      </w:tr>
      <w:tr w:rsidR="004960B7" w:rsidRPr="00BB62E4" w:rsidTr="00534DE6">
        <w:tc>
          <w:tcPr>
            <w:tcW w:w="5888" w:type="dxa"/>
          </w:tcPr>
          <w:p w:rsidR="004960B7" w:rsidRPr="00BB62E4" w:rsidRDefault="004960B7" w:rsidP="00534DE6">
            <w:pPr>
              <w:ind w:left="34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ثانيا: رتبة نصفية الأجنحة البق: بق الفراش + البق السفاح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(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الترياتومي</w:t>
            </w:r>
            <w:proofErr w:type="spellEnd"/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)</w:t>
            </w:r>
          </w:p>
          <w:p w:rsidR="004960B7" w:rsidRPr="00BB62E4" w:rsidRDefault="004960B7" w:rsidP="00534DE6">
            <w:pPr>
              <w:tabs>
                <w:tab w:val="left" w:pos="633"/>
              </w:tabs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(الصفات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العامة,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تركيب أجزاء الفم, دورة الحياة, العادات والتغذية, الأهمية الطبية, المكافحة).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534DE6">
        <w:tc>
          <w:tcPr>
            <w:tcW w:w="5888" w:type="dxa"/>
          </w:tcPr>
          <w:p w:rsidR="004960B7" w:rsidRPr="00BB62E4" w:rsidRDefault="004960B7" w:rsidP="00534DE6">
            <w:p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ثالثا: رتبة القمل الماص قمل الانسان: قمل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الرأس,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قمل </w:t>
            </w: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lastRenderedPageBreak/>
              <w:t>الجسم, قمل العانة</w:t>
            </w:r>
          </w:p>
          <w:p w:rsidR="004960B7" w:rsidRPr="00BB62E4" w:rsidRDefault="004960B7" w:rsidP="00534DE6">
            <w:pPr>
              <w:tabs>
                <w:tab w:val="left" w:pos="633"/>
              </w:tabs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(</w:t>
            </w:r>
            <w:proofErr w:type="spellStart"/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الصفاتالعامة</w:t>
            </w:r>
            <w:proofErr w:type="spell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تركيب أجزاء الفم, دورة الحياة, العادات والتغذية, الأهمية الطبية, المكافحة).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5888" w:type="dxa"/>
          </w:tcPr>
          <w:p w:rsidR="004960B7" w:rsidRPr="00BB62E4" w:rsidRDefault="004960B7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lastRenderedPageBreak/>
              <w:t>رابعا: رتبة خافية (غائبة) الأجنحة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البراغيث</w:t>
            </w:r>
          </w:p>
          <w:p w:rsidR="004960B7" w:rsidRPr="00BB62E4" w:rsidRDefault="004960B7" w:rsidP="00534DE6">
            <w:pPr>
              <w:ind w:firstLine="34"/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(الصفات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العامة,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تركيب أجزاء الفم, دورة الحياة, العادات والتغذية, الأهمية الطبية, المكافحة).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960B7" w:rsidRPr="00BB62E4" w:rsidTr="00BB62E4">
        <w:tc>
          <w:tcPr>
            <w:tcW w:w="5888" w:type="dxa"/>
          </w:tcPr>
          <w:p w:rsidR="004960B7" w:rsidRPr="00BB62E4" w:rsidRDefault="004960B7" w:rsidP="00534DE6">
            <w:p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رتبة </w:t>
            </w:r>
            <w:proofErr w:type="spell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الأكاروسات</w:t>
            </w:r>
            <w:proofErr w:type="spellEnd"/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 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 xml:space="preserve"> القراد: القراد الصلب + القراد اللين</w:t>
            </w:r>
          </w:p>
          <w:p w:rsidR="004960B7" w:rsidRPr="00BB62E4" w:rsidRDefault="004960B7" w:rsidP="00534DE6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(الصفات </w:t>
            </w:r>
            <w:proofErr w:type="gramStart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العامة,</w:t>
            </w:r>
            <w:proofErr w:type="gramEnd"/>
            <w:r w:rsidRPr="00BB62E4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تركيب أجزاء الفم, دورة الحياة, العادات والتغذية, الأهمية الطبية, المكافحة).</w:t>
            </w:r>
          </w:p>
        </w:tc>
        <w:tc>
          <w:tcPr>
            <w:tcW w:w="103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7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</w:tr>
    </w:tbl>
    <w:p w:rsidR="004960B7" w:rsidRPr="00BB62E4" w:rsidRDefault="004960B7" w:rsidP="00BB62E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B62E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4960B7" w:rsidRPr="00BB62E4" w:rsidRDefault="004960B7" w:rsidP="004960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>تزويد الطالب بالمعلومات الكافية عن أهم المراجع العلمية المستخدمة في تدريس المقرر وأماكن تواجدها.</w:t>
      </w:r>
    </w:p>
    <w:p w:rsidR="004960B7" w:rsidRPr="00BB62E4" w:rsidRDefault="004960B7" w:rsidP="004960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>متابعة أي تحديثات قد تطرأ على المعلومات التي يتم تدريسها في المقرر وذلك بمتابعة الورقات العلمية الحديثة ومناقشتها بين الطلاب.</w:t>
      </w:r>
    </w:p>
    <w:p w:rsidR="004960B7" w:rsidRPr="00BB62E4" w:rsidRDefault="004960B7" w:rsidP="004960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>يتم استخدام الشرح على السبورة باستخدام الأقلام المائية.</w:t>
      </w:r>
    </w:p>
    <w:p w:rsidR="004960B7" w:rsidRPr="00BB62E4" w:rsidRDefault="004960B7" w:rsidP="004960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BB62E4">
        <w:rPr>
          <w:rFonts w:ascii="Calibri" w:eastAsia="Times New Roman" w:hAnsi="Calibri" w:cs="Calibri"/>
          <w:sz w:val="28"/>
          <w:szCs w:val="28"/>
        </w:rPr>
        <w:t>Data show</w:t>
      </w:r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proofErr w:type="gramStart"/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و </w:t>
      </w:r>
      <w:proofErr w:type="spellStart"/>
      <w:r w:rsidRPr="00BB62E4">
        <w:rPr>
          <w:rFonts w:ascii="Calibri" w:eastAsia="Times New Roman" w:hAnsi="Calibri" w:cs="Calibri"/>
          <w:sz w:val="28"/>
          <w:szCs w:val="28"/>
        </w:rPr>
        <w:t>Progector</w:t>
      </w:r>
      <w:proofErr w:type="spellEnd"/>
      <w:proofErr w:type="gramEnd"/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. </w:t>
      </w:r>
    </w:p>
    <w:p w:rsidR="004960B7" w:rsidRPr="00BB62E4" w:rsidRDefault="004960B7" w:rsidP="004960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استخدام التعليم الالكتروني (التعليم عن بعد) باستخدام تطبيق </w:t>
      </w:r>
      <w:r w:rsidRPr="00BB62E4">
        <w:rPr>
          <w:rFonts w:ascii="Calibri" w:eastAsia="Times New Roman" w:hAnsi="Calibri" w:cs="Calibri"/>
          <w:sz w:val="28"/>
          <w:szCs w:val="28"/>
        </w:rPr>
        <w:t>Google classroom</w:t>
      </w:r>
      <w:r w:rsidRPr="00BB62E4">
        <w:rPr>
          <w:rFonts w:ascii="Calibri" w:eastAsia="Times New Roman" w:hAnsi="Calibri" w:cs="Calibri"/>
          <w:sz w:val="28"/>
          <w:szCs w:val="28"/>
          <w:rtl/>
        </w:rPr>
        <w:t>.</w:t>
      </w:r>
    </w:p>
    <w:p w:rsidR="004960B7" w:rsidRPr="00BB62E4" w:rsidRDefault="004960B7" w:rsidP="004960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4960B7" w:rsidRPr="00216732" w:rsidRDefault="004960B7" w:rsidP="00216732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Calibri"/>
          <w:sz w:val="28"/>
          <w:szCs w:val="28"/>
          <w:rtl/>
        </w:rPr>
      </w:pPr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زيارات ميدانية وحقلية الى الحقول </w:t>
      </w:r>
      <w:proofErr w:type="gramStart"/>
      <w:r w:rsidRPr="00BB62E4">
        <w:rPr>
          <w:rFonts w:ascii="Calibri" w:eastAsia="Times New Roman" w:hAnsi="Calibri" w:cs="Calibri"/>
          <w:sz w:val="28"/>
          <w:szCs w:val="28"/>
          <w:rtl/>
        </w:rPr>
        <w:t>و مختبرات</w:t>
      </w:r>
      <w:proofErr w:type="gramEnd"/>
      <w:r w:rsidRPr="00BB62E4">
        <w:rPr>
          <w:rFonts w:ascii="Calibri" w:eastAsia="Times New Roman" w:hAnsi="Calibri" w:cs="Calibri"/>
          <w:sz w:val="28"/>
          <w:szCs w:val="28"/>
          <w:rtl/>
        </w:rPr>
        <w:t xml:space="preserve"> التشخيص المختلفة.</w:t>
      </w:r>
    </w:p>
    <w:p w:rsidR="004960B7" w:rsidRPr="00BB62E4" w:rsidRDefault="004960B7" w:rsidP="004960B7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4960B7" w:rsidRPr="00BB62E4" w:rsidRDefault="004960B7" w:rsidP="00BB62E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B62E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95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201"/>
        <w:gridCol w:w="4111"/>
        <w:gridCol w:w="1336"/>
      </w:tblGrid>
      <w:tr w:rsidR="004960B7" w:rsidRPr="00D00D9B" w:rsidTr="00216732">
        <w:trPr>
          <w:trHeight w:val="467"/>
          <w:jc w:val="center"/>
        </w:trPr>
        <w:tc>
          <w:tcPr>
            <w:tcW w:w="9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32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4960B7" w:rsidRPr="00D00D9B" w:rsidTr="00216732">
        <w:trPr>
          <w:trHeight w:val="530"/>
          <w:jc w:val="center"/>
        </w:trPr>
        <w:tc>
          <w:tcPr>
            <w:tcW w:w="9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الامتحان النصفي 1+2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بعد 5 محاضرات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4960B7" w:rsidRPr="00D00D9B" w:rsidTr="00216732">
        <w:trPr>
          <w:trHeight w:val="530"/>
          <w:jc w:val="center"/>
        </w:trPr>
        <w:tc>
          <w:tcPr>
            <w:tcW w:w="9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الامتحان الشفهي والنشاط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وفقا للمحاضرات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5%</w:t>
            </w:r>
          </w:p>
        </w:tc>
      </w:tr>
      <w:tr w:rsidR="004960B7" w:rsidRPr="00D00D9B" w:rsidTr="00216732">
        <w:trPr>
          <w:trHeight w:val="573"/>
          <w:jc w:val="center"/>
        </w:trPr>
        <w:tc>
          <w:tcPr>
            <w:tcW w:w="9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الامتحان النصفي العملي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حسب جدول الامتحانات العملية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10%</w:t>
            </w:r>
          </w:p>
        </w:tc>
      </w:tr>
      <w:tr w:rsidR="004960B7" w:rsidRPr="00D00D9B" w:rsidTr="00216732">
        <w:trPr>
          <w:trHeight w:val="530"/>
          <w:jc w:val="center"/>
        </w:trPr>
        <w:tc>
          <w:tcPr>
            <w:tcW w:w="9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الامتحان النهائي العملي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حسب جدول الامتحانات العملية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15%</w:t>
            </w:r>
          </w:p>
        </w:tc>
      </w:tr>
      <w:tr w:rsidR="004960B7" w:rsidRPr="00D00D9B" w:rsidTr="00216732">
        <w:trPr>
          <w:trHeight w:val="530"/>
          <w:jc w:val="center"/>
        </w:trPr>
        <w:tc>
          <w:tcPr>
            <w:tcW w:w="9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الامتحان النهائي النظري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حسب جدول الامتحانات النهائية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B7" w:rsidRPr="00D00D9B" w:rsidRDefault="004960B7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00D9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50%</w:t>
            </w:r>
          </w:p>
        </w:tc>
      </w:tr>
      <w:tr w:rsidR="004960B7" w:rsidRPr="00D00D9B" w:rsidTr="00216732">
        <w:trPr>
          <w:trHeight w:val="350"/>
          <w:jc w:val="center"/>
        </w:trPr>
        <w:tc>
          <w:tcPr>
            <w:tcW w:w="411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B7" w:rsidRPr="00D00D9B" w:rsidRDefault="004960B7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</w:pP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100</w:t>
            </w:r>
            <w:r w:rsidRPr="00D00D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fr-FR"/>
              </w:rPr>
              <w:t xml:space="preserve"> %</w:t>
            </w:r>
          </w:p>
        </w:tc>
      </w:tr>
    </w:tbl>
    <w:p w:rsidR="00D00D9B" w:rsidRDefault="00D00D9B" w:rsidP="0021673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4960B7" w:rsidRPr="00BB62E4" w:rsidRDefault="004960B7" w:rsidP="0021673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bookmarkStart w:id="0" w:name="_GoBack"/>
      <w:bookmarkEnd w:id="0"/>
      <w:r w:rsidRPr="00BB62E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tblStyle w:val="a3"/>
        <w:tblpPr w:leftFromText="180" w:rightFromText="180" w:vertAnchor="text" w:horzAnchor="margin" w:tblpY="333"/>
        <w:bidiVisual/>
        <w:tblW w:w="9072" w:type="dxa"/>
        <w:tblLook w:val="04A0" w:firstRow="1" w:lastRow="0" w:firstColumn="1" w:lastColumn="0" w:noHBand="0" w:noVBand="1"/>
      </w:tblPr>
      <w:tblGrid>
        <w:gridCol w:w="2409"/>
        <w:gridCol w:w="1560"/>
        <w:gridCol w:w="1275"/>
        <w:gridCol w:w="2127"/>
        <w:gridCol w:w="1701"/>
      </w:tblGrid>
      <w:tr w:rsidR="004960B7" w:rsidRPr="00BB62E4" w:rsidTr="004F5B7A">
        <w:trPr>
          <w:trHeight w:val="540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60B7" w:rsidRPr="00BB62E4" w:rsidRDefault="004960B7" w:rsidP="004F5B7A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4960B7" w:rsidRPr="00BB62E4" w:rsidTr="004F5B7A"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مذكرات المقرر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مذكرات عضو هيئة التدريس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</w:rPr>
              <w:t>PDF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</w:rPr>
              <w:t>PPT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أستاذ المقرر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\\</w:t>
            </w:r>
          </w:p>
        </w:tc>
      </w:tr>
      <w:tr w:rsidR="004960B7" w:rsidRPr="00BB62E4" w:rsidTr="004F5B7A">
        <w:trPr>
          <w:trHeight w:val="853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المرشد الى علم الحشرات الطبية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مطابع جامعة </w:t>
            </w:r>
            <w:proofErr w:type="gramStart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الموصل,</w:t>
            </w:r>
            <w:proofErr w:type="gramEnd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العراق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الأولى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1984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سليط,</w:t>
            </w:r>
            <w:proofErr w:type="gramEnd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علي محمد: الصفار, زهير يونس, و العراقي, رياض أحمد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مكتبة الكلية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مكتبة الجامعة</w:t>
            </w:r>
          </w:p>
        </w:tc>
      </w:tr>
      <w:tr w:rsidR="004960B7" w:rsidRPr="00BB62E4" w:rsidTr="004F5B7A">
        <w:trPr>
          <w:trHeight w:val="853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الطفيليات البيطرية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منشورات جامعة عمر المختار.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الأولى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1996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عطيفي,</w:t>
            </w:r>
            <w:proofErr w:type="gramEnd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يحي زكريا.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مكتبة الكلية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مكتبة الجامعة</w:t>
            </w:r>
          </w:p>
        </w:tc>
      </w:tr>
      <w:tr w:rsidR="004960B7" w:rsidRPr="00BB62E4" w:rsidTr="004F5B7A">
        <w:trPr>
          <w:trHeight w:val="853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أساسيات علم الطفيليات الطبية والبيطرية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منشورات جامعة عمر </w:t>
            </w:r>
            <w:proofErr w:type="gramStart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المختار,</w:t>
            </w:r>
            <w:proofErr w:type="gramEnd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البيضاء, ليبيا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الأولى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2009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نجم </w:t>
            </w:r>
            <w:proofErr w:type="gramStart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الدين,</w:t>
            </w:r>
            <w:proofErr w:type="gramEnd"/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محسن محمد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مكتبة الكلية</w:t>
            </w:r>
          </w:p>
          <w:p w:rsidR="004960B7" w:rsidRPr="00BB62E4" w:rsidRDefault="004960B7" w:rsidP="004F5B7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BB62E4">
              <w:rPr>
                <w:rFonts w:ascii="Calibri" w:eastAsia="Times New Roman" w:hAnsi="Calibri" w:cs="Calibri"/>
                <w:sz w:val="28"/>
                <w:szCs w:val="28"/>
                <w:rtl/>
              </w:rPr>
              <w:t>مكتبة الجامعة</w:t>
            </w:r>
          </w:p>
        </w:tc>
      </w:tr>
    </w:tbl>
    <w:p w:rsidR="004960B7" w:rsidRPr="00BB62E4" w:rsidRDefault="004960B7" w:rsidP="004960B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4960B7" w:rsidRPr="00BB62E4" w:rsidRDefault="004960B7" w:rsidP="004960B7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4960B7" w:rsidRPr="00BB62E4" w:rsidRDefault="004960B7" w:rsidP="004960B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905577" w:rsidRPr="00BB62E4" w:rsidRDefault="00905577" w:rsidP="004960B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960B7" w:rsidRDefault="004960B7" w:rsidP="004960B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216732" w:rsidRPr="00BB62E4" w:rsidRDefault="00216732" w:rsidP="004960B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960B7" w:rsidRPr="00BB62E4" w:rsidRDefault="004960B7" w:rsidP="00216732">
      <w:pPr>
        <w:jc w:val="center"/>
        <w:rPr>
          <w:rFonts w:ascii="Calibri" w:hAnsi="Calibri" w:cs="Calibri"/>
          <w:sz w:val="28"/>
          <w:szCs w:val="28"/>
          <w:rtl/>
        </w:rPr>
      </w:pPr>
      <w:r w:rsidRPr="00BB62E4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BB62E4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4960B7" w:rsidRPr="00BB62E4" w:rsidRDefault="004960B7" w:rsidP="00216732">
      <w:pPr>
        <w:jc w:val="center"/>
        <w:rPr>
          <w:rFonts w:ascii="Calibri" w:hAnsi="Calibri" w:cs="Calibri"/>
          <w:sz w:val="28"/>
          <w:szCs w:val="28"/>
          <w:rtl/>
        </w:rPr>
      </w:pPr>
      <w:r w:rsidRPr="00BB62E4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BB62E4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BB62E4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BB62E4">
        <w:rPr>
          <w:rFonts w:ascii="Calibri" w:hAnsi="Calibri" w:cs="Calibri"/>
          <w:sz w:val="28"/>
          <w:szCs w:val="28"/>
          <w:rtl/>
        </w:rPr>
        <w:t>.</w:t>
      </w:r>
    </w:p>
    <w:p w:rsidR="000409CC" w:rsidRPr="00BB62E4" w:rsidRDefault="004960B7" w:rsidP="00216732">
      <w:pPr>
        <w:jc w:val="center"/>
        <w:rPr>
          <w:rFonts w:ascii="Calibri" w:hAnsi="Calibri" w:cs="Calibri"/>
        </w:rPr>
      </w:pPr>
      <w:r w:rsidRPr="00BB62E4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BB62E4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BB62E4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BB62E4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409CC" w:rsidRPr="00BB62E4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23049"/>
    <w:multiLevelType w:val="hybridMultilevel"/>
    <w:tmpl w:val="99C49BF4"/>
    <w:lvl w:ilvl="0" w:tplc="1E864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230A7"/>
    <w:multiLevelType w:val="hybridMultilevel"/>
    <w:tmpl w:val="A44431BC"/>
    <w:lvl w:ilvl="0" w:tplc="45C62D7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B1452"/>
    <w:multiLevelType w:val="hybridMultilevel"/>
    <w:tmpl w:val="8FE02682"/>
    <w:lvl w:ilvl="0" w:tplc="1FD461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33FF2"/>
    <w:multiLevelType w:val="hybridMultilevel"/>
    <w:tmpl w:val="8214A33E"/>
    <w:lvl w:ilvl="0" w:tplc="EF6C9B18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B7"/>
    <w:rsid w:val="000409CC"/>
    <w:rsid w:val="00216732"/>
    <w:rsid w:val="004960B7"/>
    <w:rsid w:val="00534DE6"/>
    <w:rsid w:val="00670D90"/>
    <w:rsid w:val="00741245"/>
    <w:rsid w:val="00905577"/>
    <w:rsid w:val="009A5082"/>
    <w:rsid w:val="00BB62E4"/>
    <w:rsid w:val="00D00D9B"/>
    <w:rsid w:val="00D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269E12-14AC-4348-A480-E8313C34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49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7</cp:revision>
  <cp:lastPrinted>2022-06-09T15:59:00Z</cp:lastPrinted>
  <dcterms:created xsi:type="dcterms:W3CDTF">2022-06-06T04:36:00Z</dcterms:created>
  <dcterms:modified xsi:type="dcterms:W3CDTF">2022-06-09T16:00:00Z</dcterms:modified>
</cp:coreProperties>
</file>